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9"/>
        <w:rPr>
          <w:rFonts w:hint="eastAsia"/>
          <w:color w:val="000000"/>
          <w:highlight w:val="none"/>
        </w:rPr>
      </w:pPr>
      <w:r>
        <w:rPr>
          <w:rFonts w:hint="eastAsia"/>
          <w:color w:val="000000"/>
          <w:highlight w:val="none"/>
        </w:rPr>
      </w:r>
      <w:r/>
    </w:p>
    <w:p>
      <w:pPr>
        <w:pStyle w:val="97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8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南京市第29中学新校区生物及智慧云实验室基础设备采购 </w:t>
      </w:r>
      <w:r>
        <w:rPr>
          <w:b/>
          <w:color w:val="000000"/>
          <w:sz w:val="30"/>
          <w:szCs w:val="30"/>
          <w:highlight w:val="none"/>
          <w:u w:val="single"/>
        </w:rPr>
      </w:r>
      <w:r/>
    </w:p>
    <w:p>
      <w:pPr>
        <w:pStyle w:val="88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JSZC-320100-JZCG-G2025-0379     </w:t>
      </w:r>
      <w:r>
        <w:rPr>
          <w:rFonts w:hint="eastAsia"/>
          <w:b/>
          <w:color w:val="000000"/>
          <w:sz w:val="30"/>
          <w:szCs w:val="30"/>
          <w:highlight w:val="none"/>
        </w:rPr>
        <w:t xml:space="preserve">          </w:t>
      </w:r>
      <w:r>
        <w:rPr>
          <w:rFonts w:hint="eastAsia"/>
          <w:b/>
          <w:color w:val="000000"/>
          <w:sz w:val="30"/>
          <w:szCs w:val="30"/>
          <w:highlight w:val="none"/>
        </w:rPr>
      </w:r>
      <w:r/>
    </w:p>
    <w:p>
      <w:pPr>
        <w:pStyle w:val="88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0"/>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81"/>
        <w:jc w:val="center"/>
        <w:rPr>
          <w:rFonts w:hint="eastAsia"/>
          <w:b/>
          <w:color w:val="000000"/>
          <w:sz w:val="32"/>
          <w:szCs w:val="32"/>
          <w:highlight w:val="none"/>
        </w:rPr>
      </w:pPr>
      <w:r>
        <w:rPr>
          <w:rFonts w:hint="eastAsia"/>
          <w:b/>
          <w:color w:val="000000"/>
          <w:sz w:val="32"/>
          <w:szCs w:val="32"/>
          <w:highlight w:val="none"/>
        </w:rPr>
        <w:t xml:space="preserve">2025年11月</w:t>
      </w:r>
      <w:r>
        <w:rPr>
          <w:rFonts w:hint="eastAsia"/>
          <w:b/>
          <w:color w:val="000000"/>
          <w:sz w:val="32"/>
          <w:szCs w:val="32"/>
          <w:highlight w:val="none"/>
        </w:rPr>
      </w:r>
      <w:r/>
    </w:p>
    <w:p>
      <w:pPr>
        <w:pStyle w:val="88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8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3</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5</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合同文本……………………………………14</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采购需求……………………………………18</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评标方法与评标标准………………………62</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投标文件格式………………………………67</w:t>
      </w:r>
      <w:r>
        <w:rPr>
          <w:rFonts w:hint="eastAsia" w:ascii="黑体" w:hAnsi="宋体" w:eastAsia="黑体"/>
          <w:color w:val="000000"/>
          <w:sz w:val="36"/>
          <w:szCs w:val="21"/>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bookmarkEnd w:id="0"/>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color w:val="000000"/>
          <w:sz w:val="24"/>
          <w:szCs w:val="24"/>
          <w:highlight w:val="none"/>
        </w:rPr>
        <w:t xml:space="preserve">受南京市鼓楼区教育局委托，南京市公共资源交易中心（以下简称“交易中心”）就南京市第29中学新校区生物及智慧云实验室基础设备进行公开招标采购，欢迎符合条件的供应商投标。</w:t>
      </w:r>
      <w:r>
        <w:rPr>
          <w:rFonts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olor w:val="000000"/>
          <w:sz w:val="24"/>
          <w:szCs w:val="24"/>
          <w:highlight w:val="none"/>
        </w:rPr>
      </w:pPr>
      <w:r/>
      <w:bookmarkEnd w:id="11"/>
      <w:r/>
      <w:bookmarkStart w:id="12" w:name="_Toc38985264"/>
      <w:r/>
      <w:bookmarkStart w:id="13" w:name="_Toc35393791"/>
      <w:r/>
      <w:bookmarkStart w:id="14" w:name="_Toc28359080"/>
      <w:r/>
      <w:bookmarkStart w:id="15" w:name="_Toc35393622"/>
      <w:r/>
      <w:bookmarkStart w:id="16" w:name="_Toc28359003"/>
      <w:r>
        <w:rPr>
          <w:rFonts w:hint="eastAsia" w:ascii="宋体" w:hAnsi="宋体"/>
          <w:color w:val="000000"/>
          <w:sz w:val="24"/>
          <w:szCs w:val="24"/>
          <w:highlight w:val="none"/>
        </w:rPr>
        <w:t xml:space="preserve">1.项目编号：JSZC-320100-JZCG-G2025-0379</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2.项目名称：南京市第29中学新校区生物及智慧云实验室基础设备</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3.预算金额：518万元</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5.采购需求（简介）：根据学校教学需求，配置相关实验室设备，满足学校的教育教学需要。（详细内容见本招标文件第四章）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6.合同履行期限：90天</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7.本项目不接受进口产品投标。</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s="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s="宋体"/>
          <w:color w:val="000000"/>
          <w:sz w:val="24"/>
          <w:szCs w:val="24"/>
          <w:highlight w:val="none"/>
        </w:rPr>
        <w:t xml:space="preserve">（一）通用资格要求</w:t>
      </w:r>
      <w:r>
        <w:rPr>
          <w:rFonts w:hint="eastAsia" w:ascii="宋体" w:hAnsi="宋体" w:cs="宋体"/>
          <w:color w:val="000000"/>
          <w:sz w:val="24"/>
          <w:szCs w:val="24"/>
          <w:highlight w:val="none"/>
        </w:rPr>
      </w:r>
      <w:r/>
    </w:p>
    <w:p>
      <w:pPr>
        <w:pStyle w:val="88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工业</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rPr>
          <w:rFonts w:hint="eastAsia" w:ascii="宋体" w:hAnsi="宋体" w:cs="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bCs/>
          <w:color w:val="000000"/>
          <w:sz w:val="24"/>
          <w:szCs w:val="24"/>
          <w:highlight w:val="none"/>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25</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30日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8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4"/>
        <w:ind w:firstLine="498"/>
        <w:spacing w:before="145" w:after="145" w:line="252" w:lineRule="auto"/>
        <w:rPr>
          <w:rFonts w:hint="eastAsia"/>
          <w:color w:val="000000"/>
          <w:highlight w:val="none"/>
        </w:rPr>
      </w:pPr>
      <w:r>
        <w:rPr>
          <w:rFonts w:hint="eastAsia"/>
          <w:color w:val="000000"/>
          <w:highlight w:val="none"/>
        </w:rPr>
        <w:t xml:space="preserve">六、其他事宜</w:t>
      </w:r>
      <w:bookmarkEnd w:id="32"/>
      <w:r/>
      <w:bookmarkEnd w:id="33"/>
      <w:r/>
      <w:bookmarkEnd w:id="34"/>
      <w:r>
        <w:rPr>
          <w:rFonts w:hint="eastAsia"/>
          <w:color w:val="000000"/>
          <w:highlight w:val="none"/>
        </w:rPr>
      </w:r>
      <w:r/>
    </w:p>
    <w:p>
      <w:pPr>
        <w:pStyle w:val="881"/>
        <w:ind w:firstLine="480"/>
        <w:spacing w:line="252" w:lineRule="auto"/>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35393796"/>
      <w:r/>
      <w:bookmarkStart w:id="38" w:name="_Toc28359085"/>
      <w:r/>
      <w:bookmarkStart w:id="39" w:name="_Toc38985269"/>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55"/>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81"/>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hint="eastAsia" w:ascii="宋体" w:hAnsi="宋体" w:cs="宋体"/>
          <w:b/>
          <w:bCs/>
          <w:color w:val="000000"/>
          <w:sz w:val="24"/>
          <w:szCs w:val="24"/>
          <w:highlight w:val="none"/>
        </w:rPr>
      </w:r>
      <w:r/>
    </w:p>
    <w:p>
      <w:pPr>
        <w:pStyle w:val="881"/>
        <w:ind w:firstLine="482"/>
        <w:spacing w:line="25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称：南京市鼓楼区教育局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址：南京市鼓楼区下关大厦12楼</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联系人：万老师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联系电话：025-83230037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bookmarkStart w:id="40" w:name="_Toc28359009"/>
      <w:r/>
      <w:bookmarkStart w:id="41" w:name="_Toc28359086"/>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联系人：段女士</w:t>
      </w:r>
      <w:r>
        <w:rPr>
          <w:rFonts w:hint="eastAsia" w:ascii="宋体" w:hAnsi="宋体"/>
          <w:color w:val="000000"/>
          <w:sz w:val="24"/>
          <w:szCs w:val="24"/>
          <w:highlight w:val="none"/>
        </w:rPr>
      </w:r>
      <w:r/>
    </w:p>
    <w:p>
      <w:pPr>
        <w:pStyle w:val="881"/>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联系电话：025-68505085 </w:t>
      </w: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7" w:name="_Toc120614214"/>
      <w:r/>
      <w:bookmarkStart w:id="48" w:name="_Toc513029203"/>
      <w:r/>
      <w:bookmarkStart w:id="49" w:name="_Toc20823275"/>
      <w:r/>
      <w:bookmarkStart w:id="50" w:name="_Toc16938519"/>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highlight w:val="none"/>
        </w:rPr>
        <w:t xml:space="preserve">1</w:t>
      </w:r>
      <w:bookmarkEnd w:id="57"/>
      <w:r>
        <w:rPr>
          <w:rFonts w:hint="eastAsia" w:ascii="方正楷体_GBK" w:hAnsi="方正楷体_GBK" w:eastAsia="方正楷体_GBK" w:cs="方正楷体_GBK"/>
          <w:color w:val="000000"/>
          <w:highlight w:val="none"/>
        </w:rPr>
        <w:t xml:space="preserve">.招标方式</w:t>
      </w:r>
      <w:bookmarkEnd w:id="58"/>
      <w:r/>
      <w:bookmarkEnd w:id="59"/>
      <w:r/>
      <w:bookmarkEnd w:id="6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color w:val="000000"/>
          <w:highlight w:val="none"/>
        </w:rPr>
        <w:t xml:space="preserve">2.合格的投标人</w:t>
      </w:r>
      <w:bookmarkEnd w:id="61"/>
      <w:r/>
      <w:bookmarkEnd w:id="62"/>
      <w:r/>
      <w:bookmarkEnd w:id="6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color w:val="000000"/>
          <w:highlight w:val="none"/>
        </w:rPr>
        <w:t xml:space="preserve">3.适用法律</w:t>
      </w:r>
      <w:bookmarkEnd w:id="64"/>
      <w:r/>
      <w:bookmarkEnd w:id="65"/>
      <w:r/>
      <w:bookmarkEnd w:id="66"/>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color w:val="000000"/>
          <w:highlight w:val="none"/>
        </w:rPr>
        <w:t xml:space="preserve">4.投标费用</w:t>
      </w:r>
      <w:bookmarkEnd w:id="67"/>
      <w:r/>
      <w:bookmarkEnd w:id="68"/>
      <w:r/>
      <w:bookmarkEnd w:id="69"/>
      <w:r/>
      <w:bookmarkEnd w:id="7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000000"/>
          <w:highlight w:val="none"/>
        </w:rPr>
        <w:t xml:space="preserve">6.招标文件构成</w:t>
      </w:r>
      <w:bookmarkEnd w:id="75"/>
      <w:r/>
      <w:bookmarkEnd w:id="76"/>
      <w:r/>
      <w:bookmarkEnd w:id="77"/>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color w:val="000000"/>
          <w:highlight w:val="none"/>
        </w:rPr>
        <w:t xml:space="preserve">7.招标文件的澄清</w:t>
      </w:r>
      <w:bookmarkEnd w:id="78"/>
      <w:r/>
      <w:bookmarkEnd w:id="79"/>
      <w:r/>
      <w:bookmarkEnd w:id="80"/>
      <w:r/>
      <w:bookmarkEnd w:id="8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color w:val="000000"/>
          <w:highlight w:val="none"/>
        </w:rPr>
        <w:t xml:space="preserve">8.招标文件的修改</w:t>
      </w:r>
      <w:bookmarkEnd w:id="82"/>
      <w:r/>
      <w:bookmarkEnd w:id="83"/>
      <w:r/>
      <w:bookmarkEnd w:id="84"/>
      <w:r/>
      <w:bookmarkEnd w:id="8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Start w:id="86" w:name="_Toc16938529"/>
      <w:r/>
      <w:bookmarkStart w:id="87" w:name="_Toc513029213"/>
      <w:r/>
      <w:bookmarkStart w:id="88" w:name="_Toc120614216"/>
      <w:r/>
      <w:bookmarkStart w:id="89" w:name="_Toc20823285"/>
      <w:r/>
      <w:bookmarkStart w:id="90" w:name="_Toc462564072"/>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color w:val="000000"/>
          <w:highlight w:val="none"/>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color w:val="000000"/>
          <w:highlight w:val="none"/>
        </w:rPr>
        <w:t xml:space="preserve">10.投标文件构成</w:t>
      </w:r>
      <w:bookmarkEnd w:id="95"/>
      <w:r/>
      <w:bookmarkEnd w:id="96"/>
      <w:r/>
      <w:bookmarkEnd w:id="97"/>
      <w:r/>
      <w:bookmarkEnd w:id="9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color w:val="000000"/>
          <w:highlight w:val="none"/>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End w:id="104"/>
      <w:r/>
      <w:bookmarkEnd w:id="105"/>
      <w:r/>
      <w:bookmarkEnd w:id="106"/>
      <w:r/>
      <w:bookmarkStart w:id="108" w:name="_Toc49090508"/>
      <w:r/>
      <w:bookmarkStart w:id="109"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9"/>
      <w:r/>
      <w:bookmarkStart w:id="110" w:name="_Hlt26670373"/>
      <w:r/>
      <w:bookmarkEnd w:id="110"/>
      <w:r>
        <w:rPr>
          <w:rFonts w:hint="eastAsia" w:ascii="方正楷体_GBK" w:hAnsi="方正楷体_GBK" w:eastAsia="方正楷体_GBK" w:cs="方正楷体_GBK"/>
          <w:color w:val="000000"/>
          <w:highlight w:val="none"/>
        </w:rPr>
        <w:t xml:space="preserve">表</w:t>
      </w:r>
      <w:bookmarkEnd w:id="108"/>
      <w:r>
        <w:rPr>
          <w:rFonts w:hint="eastAsia" w:ascii="方正楷体_GBK" w:hAnsi="方正楷体_GBK" w:eastAsia="方正楷体_GBK" w:cs="方正楷体_GBK"/>
          <w:color w:val="000000"/>
          <w:highlight w:val="none"/>
        </w:rPr>
        <w:t xml:space="preserve">（如有）</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1" w:name="_Hlt26954840"/>
      <w:r/>
      <w:bookmarkEnd w:id="111"/>
      <w:r>
        <w:rPr>
          <w:rFonts w:hint="eastAsia" w:ascii="宋体" w:hAnsi="宋体"/>
          <w:color w:val="000000"/>
          <w:sz w:val="24"/>
          <w:highlight w:val="none"/>
        </w:rPr>
        <w:t xml:space="preserve">标人应按照招标文件规定格式填报投标分项报价表</w:t>
      </w:r>
      <w:bookmarkStart w:id="112" w:name="_Hlt26670399"/>
      <w:r/>
      <w:bookmarkEnd w:id="112"/>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13" w:name="_Hlt26670403"/>
      <w:r/>
      <w:bookmarkEnd w:id="113"/>
      <w:r/>
      <w:bookmarkStart w:id="114" w:name="_Hlt26954844"/>
      <w:r/>
      <w:bookmarkEnd w:id="114"/>
      <w:r/>
      <w:bookmarkStart w:id="115" w:name="_Hlt26670486"/>
      <w:r/>
      <w:bookmarkEnd w:id="115"/>
      <w:r/>
      <w:bookmarkStart w:id="116" w:name="_Hlt26954848"/>
      <w:r/>
      <w:bookmarkEnd w:id="116"/>
      <w:r/>
      <w:bookmarkStart w:id="117" w:name="_Hlt26954846"/>
      <w:r/>
      <w:bookmarkEnd w:id="117"/>
      <w:r/>
      <w:bookmarkStart w:id="118" w:name="_Hlt26670425"/>
      <w:r/>
      <w:bookmarkEnd w:id="118"/>
      <w:r/>
      <w:bookmarkStart w:id="119" w:name="_Hlt26954842"/>
      <w:r/>
      <w:bookmarkEnd w:id="119"/>
      <w:r/>
      <w:bookmarkStart w:id="120" w:name="_Hlt26668983"/>
      <w:r/>
      <w:bookmarkEnd w:id="120"/>
      <w:r/>
      <w:bookmarkStart w:id="121" w:name="_Hlt26954731"/>
      <w:r/>
      <w:bookmarkEnd w:id="121"/>
      <w:r/>
      <w:bookmarkStart w:id="122" w:name="_Hlt26670482"/>
      <w:r/>
      <w:bookmarkEnd w:id="122"/>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23" w:name="_Toc14577359"/>
      <w:r/>
      <w:bookmarkStart w:id="124" w:name="_Toc49090510"/>
      <w:r>
        <w:rPr>
          <w:rFonts w:hint="eastAsia" w:ascii="方正楷体_GBK" w:hAnsi="方正楷体_GBK" w:eastAsia="方正楷体_GBK" w:cs="方正楷体_GBK"/>
          <w:color w:val="000000"/>
          <w:highlight w:val="none"/>
        </w:rPr>
        <w:t xml:space="preserve">14.投标函和开标一览表及核心产品品牌一览表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color w:val="000000"/>
          <w:highlight w:val="none"/>
        </w:rPr>
        <w:t xml:space="preserve">15.投标有效期</w:t>
      </w:r>
      <w:bookmarkEnd w:id="128"/>
      <w:r/>
      <w:bookmarkEnd w:id="129"/>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16938540"/>
      <w:r/>
      <w:bookmarkStart w:id="133" w:name="_Toc513029224"/>
      <w:r/>
      <w:bookmarkStart w:id="134" w:name="_Toc120614217"/>
      <w:r/>
      <w:bookmarkStart w:id="135"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color w:val="000000"/>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End w:id="140"/>
      <w:r/>
      <w:bookmarkEnd w:id="141"/>
      <w:r/>
      <w:bookmarkEnd w:id="142"/>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3" w:name="_Toc20823299"/>
      <w:r/>
      <w:bookmarkStart w:id="144" w:name="_Toc16938543"/>
      <w:r/>
      <w:bookmarkStart w:id="145" w:name="_Toc513029227"/>
      <w:r>
        <w:rPr>
          <w:rFonts w:hint="eastAsia" w:ascii="方正楷体_GBK" w:hAnsi="方正楷体_GBK" w:eastAsia="方正楷体_GBK" w:cs="方正楷体_GBK"/>
          <w:color w:val="000000"/>
          <w:highlight w:val="none"/>
        </w:rPr>
        <w:t xml:space="preserve">18.投标文件</w:t>
      </w:r>
      <w:bookmarkEnd w:id="143"/>
      <w:r/>
      <w:bookmarkEnd w:id="144"/>
      <w:r/>
      <w:bookmarkEnd w:id="145"/>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highlight w:val="none"/>
        </w:rPr>
        <w:t xml:space="preserve">19.投标文件的撤回和修改</w:t>
      </w:r>
      <w:bookmarkEnd w:id="146"/>
      <w:r/>
      <w:bookmarkEnd w:id="147"/>
      <w:r/>
      <w:bookmarkEnd w:id="14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color w:val="000000"/>
          <w:highlight w:val="none"/>
        </w:rPr>
        <w:t xml:space="preserve">20.开标</w:t>
      </w:r>
      <w:bookmarkEnd w:id="153"/>
      <w:r/>
      <w:bookmarkEnd w:id="154"/>
      <w:r/>
      <w:bookmarkEnd w:id="15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End w:id="156"/>
      <w:r/>
      <w:bookmarkEnd w:id="157"/>
      <w:r/>
      <w:bookmarkEnd w:id="158"/>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highlight w:val="none"/>
        </w:rPr>
        <w:t xml:space="preserve">23.投标文件的澄清</w:t>
      </w:r>
      <w:bookmarkEnd w:id="159"/>
      <w:r/>
      <w:bookmarkEnd w:id="160"/>
      <w:r/>
      <w:bookmarkEnd w:id="16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62" w:name="_Toc20823305"/>
      <w:r/>
      <w:bookmarkStart w:id="163" w:name="_Toc16938549"/>
      <w:r/>
      <w:bookmarkStart w:id="164" w:name="_Toc513029233"/>
      <w:r>
        <w:rPr>
          <w:rFonts w:hint="eastAsia" w:ascii="方正楷体_GBK" w:hAnsi="方正楷体_GBK" w:eastAsia="方正楷体_GBK" w:cs="方正楷体_GBK"/>
          <w:color w:val="000000"/>
          <w:highlight w:val="none"/>
        </w:rPr>
        <w:t xml:space="preserve">24.投标文件的</w:t>
      </w:r>
      <w:bookmarkEnd w:id="162"/>
      <w:r/>
      <w:bookmarkEnd w:id="163"/>
      <w:r/>
      <w:bookmarkEnd w:id="164"/>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Start w:id="165" w:name="_Toc20823306"/>
      <w:r/>
      <w:bookmarkStart w:id="166" w:name="_Toc16938550"/>
      <w:r/>
      <w:bookmarkStart w:id="167" w:name="_Toc513029234"/>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5"/>
      <w:r/>
      <w:bookmarkEnd w:id="166"/>
      <w:r/>
      <w:bookmarkEnd w:id="167"/>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Start w:id="168" w:name="_Toc20823307"/>
      <w:r/>
      <w:bookmarkStart w:id="169" w:name="_Toc120614219"/>
      <w:r/>
      <w:bookmarkStart w:id="170" w:name="_Toc513029235"/>
      <w:r/>
      <w:bookmarkStart w:id="171"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highlight w:val="none"/>
          <w:lang w:val="zh-CN"/>
        </w:rPr>
      </w:r>
      <w:r/>
    </w:p>
    <w:p>
      <w:pPr>
        <w:pStyle w:val="881"/>
        <w:ind w:firstLine="420"/>
        <w:rPr>
          <w:rFonts w:ascii="宋体" w:hAnsi="宋体"/>
          <w:color w:val="000000"/>
          <w:sz w:val="24"/>
          <w:highlight w:val="none"/>
        </w:rPr>
      </w:pPr>
      <w:r>
        <w:rPr>
          <w:rFonts w:hint="eastAsia" w:ascii="宋体" w:hAnsi="宋体"/>
          <w:color w:val="000000"/>
          <w:sz w:val="24"/>
          <w:highlight w:val="none"/>
          <w:lang w:val="zh-CN"/>
        </w:rPr>
        <w:t xml:space="preserve">25.4 如出现25.2.1或25.3情形，招标活动失败，评审委员会</w:t>
      </w:r>
      <w:r>
        <w:rPr>
          <w:rFonts w:hint="eastAsia" w:ascii="宋体" w:hAnsi="宋体"/>
          <w:color w:val="000000"/>
          <w:sz w:val="24"/>
          <w:highlight w:val="none"/>
        </w:rPr>
        <w:t xml:space="preserve">应</w:t>
      </w:r>
      <w:r>
        <w:rPr>
          <w:rFonts w:hint="eastAsia" w:ascii="宋体" w:hAnsi="宋体"/>
          <w:color w:val="000000"/>
          <w:sz w:val="24"/>
          <w:highlight w:val="none"/>
          <w:lang w:bidi="ar"/>
        </w:rPr>
        <w:t xml:space="preserve">对</w:t>
      </w:r>
      <w:r>
        <w:rPr>
          <w:rFonts w:hint="eastAsia" w:ascii="宋体" w:hAnsi="宋体"/>
          <w:color w:val="000000"/>
          <w:sz w:val="24"/>
          <w:highlight w:val="none"/>
          <w:lang w:val="zh-CN" w:bidi="ar"/>
        </w:rPr>
        <w:t xml:space="preserve">招标文件是否存在不合理条款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rPr>
          <w:rFonts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5"/>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81"/>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80"/>
      <w:r/>
      <w:bookmarkEnd w:id="181"/>
      <w:r/>
      <w:bookmarkEnd w:id="182"/>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81"/>
        <w:ind w:firstLine="420"/>
        <w:jc w:val="left"/>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供应商（含潜在供应商）对采购方式、采购需求、供应商资格条件、评标方法和评标标准、合同文本的</w:t>
      </w:r>
      <w:r>
        <w:rPr>
          <w:rFonts w:hint="eastAsia" w:ascii="宋体" w:hAnsi="宋体"/>
          <w:b/>
          <w:bCs/>
          <w:color w:val="000000"/>
          <w:sz w:val="24"/>
          <w:highlight w:val="none"/>
        </w:rPr>
        <w:t xml:space="preserve">询问或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采购人《质疑函》接收人及联系方式见</w:t>
      </w:r>
      <w:r>
        <w:rPr>
          <w:rFonts w:hint="eastAsia" w:ascii="宋体" w:hAnsi="宋体"/>
          <w:b/>
          <w:bCs/>
          <w:color w:val="000000"/>
          <w:sz w:val="24"/>
          <w:highlight w:val="none"/>
        </w:rPr>
        <w:t xml:space="preserve">招标</w:t>
      </w:r>
      <w:r>
        <w:rPr>
          <w:rFonts w:hint="eastAsia" w:ascii="宋体" w:hAnsi="宋体"/>
          <w:b/>
          <w:bCs/>
          <w:color w:val="000000"/>
          <w:sz w:val="24"/>
          <w:highlight w:val="none"/>
          <w:lang w:val="zh-CN"/>
        </w:rPr>
        <w:t xml:space="preserve">文件第一章。</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由采购人负责答复的质疑，采购人将《质疑答复函》抄送交易中心。</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8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1"/>
        <w:ind w:firstLine="480"/>
        <w:spacing w:line="264" w:lineRule="auto"/>
        <w:rPr>
          <w:rFonts w:hint="eastAsia" w:ascii="宋体" w:hAnsi="宋体"/>
          <w:bCs/>
          <w:color w:val="000000"/>
          <w:sz w:val="24"/>
          <w:szCs w:val="21"/>
          <w:highlight w:val="none"/>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highlight w:val="none"/>
        </w:rPr>
        <w:t xml:space="preserve">以下为本项目的合同条款，合同双方不得对招标、投标文件内容作实质性修改。</w:t>
      </w:r>
      <w:r>
        <w:rPr>
          <w:rFonts w:hint="eastAsia" w:ascii="宋体" w:hAnsi="宋体"/>
          <w:bCs/>
          <w:color w:val="000000"/>
          <w:sz w:val="24"/>
          <w:szCs w:val="21"/>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81"/>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8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highlight w:val="none"/>
        </w:rPr>
      </w:r>
      <w:r/>
    </w:p>
    <w:p>
      <w:pPr>
        <w:pStyle w:val="881"/>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22"/>
        <w:spacing w:before="120" w:after="120" w:line="264" w:lineRule="auto"/>
        <w:rPr>
          <w:rFonts w:hint="eastAsia" w:hAnsi="宋体"/>
          <w:color w:val="000000"/>
          <w:sz w:val="24"/>
          <w:szCs w:val="24"/>
          <w:highlight w:val="none"/>
        </w:rPr>
      </w:pPr>
      <w:r/>
      <w:bookmarkEnd w:id="183"/>
      <w:r/>
      <w:bookmarkEnd w:id="184"/>
      <w:r/>
      <w:bookmarkEnd w:id="185"/>
      <w:r/>
      <w:bookmarkStart w:id="192" w:name="_Hlt16619369"/>
      <w:r/>
      <w:bookmarkEnd w:id="192"/>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rPr>
          <w:rFonts w:hint="eastAsia" w:hAnsi="宋体"/>
          <w:color w:val="000000"/>
          <w:sz w:val="24"/>
          <w:szCs w:val="24"/>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22"/>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8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本项目为南京市第29中学新校区生物及智慧云实验室基础设备采购。项目包含设备采购、安装、调试并培训使用，保障学校正常教学活动开展。</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招标文件涉及标准中未标年号的一律采用最新的标准；随着标准的修订，以修订后的最新标准为依据。</w:t>
      </w:r>
      <w:r>
        <w:rPr>
          <w:rFonts w:hint="eastAsia" w:ascii="宋体" w:hAnsi="宋体" w:cs="宋体"/>
          <w:bCs/>
          <w:color w:val="000000"/>
          <w:sz w:val="24"/>
          <w:szCs w:val="24"/>
          <w:highlight w:val="none"/>
        </w:rPr>
        <w:t xml:space="preserve">除上述规范标准以外，须遵循国家、行业及地方现行的规范和标准要求。</w:t>
      </w:r>
      <w:r>
        <w:rPr>
          <w:rFonts w:hint="eastAsia" w:ascii="宋体" w:hAnsi="宋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912"/>
        <w:gridCol w:w="799"/>
        <w:gridCol w:w="682"/>
        <w:gridCol w:w="1225"/>
        <w:gridCol w:w="1144"/>
        <w:gridCol w:w="1163"/>
        <w:gridCol w:w="906"/>
        <w:gridCol w:w="1219"/>
      </w:tblGrid>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分项名称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单价上限（元）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所属行业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属性</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政府强制采购节能产品</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实验柜（学生）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6016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4608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实验室水槽柜</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书柜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37630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衣帽柜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仪器柜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陈列柜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双面标本柜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易燃品存柜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（报警装置）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三联水嘴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付</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单面滴水架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台式洗眼器装置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教师主控电源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辅助光源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边台电源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实验多目教学示范仪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实验教学直播示范系统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吊装系统控制面板及APP</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化学吊装式控制设备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物理吊装式控制设备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吊装智能摇臂控制系统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吊装系统摇臂终端盒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吊装系统供电线路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吊装系统网络线路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吊装系统安装附件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万向吸风罩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屋面风机对接部分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室内行程管道及配件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风管配套辅件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电子天平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685800</wp:posOffset>
                      </wp:positionH>
                      <wp:positionV relativeFrom="paragraph">
                        <wp:posOffset>0</wp:posOffset>
                      </wp:positionV>
                      <wp:extent cx="881380" cy="84391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54.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笔式酸度计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磁力搅拌器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水浴锅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超净工作台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接种器具灭菌器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智能光照培养箱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光照培养架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炼苗架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果酒果醋发酵装置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酿酒设备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探究实验耗材包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紫外灭菌车</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照度计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温湿度计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精油提取器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电磁炉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组培苗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教学管理软件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课程培训与服务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服务</w:t>
            </w:r>
            <w:r>
              <w:rPr>
                <w:rFonts w:hint="eastAsia" w:ascii="宋体" w:hAnsi="宋体" w:eastAsia="宋体" w:cs="宋体"/>
                <w:color w:val="000000"/>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传递窗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净化板隔断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净化通风系统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实验室地面</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实验室水电</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净化吊顶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实验教学管理系统平台软件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交换机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显示器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教师控制主机系统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视频多流云终端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视频流媒体服务平台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视频集控服务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实验控制仪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智能学生云终端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实验操作视频采集系统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实验室辅件及配套设备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实验教学及考核管理系统云平台软件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视频同步及管理系统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实验教学及考核数据服务器设备（校级管理端）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校级调度及视频服务器设备（校级管理端）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数据汇聚交换机（校级管理端）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路由器（校级管理端）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高中物理力学演示仪器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高中物理电磁学演示仪器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高中物理近代物理演示仪器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高中物理传感器演示仪器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高中物理光学演示仪器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高中物理热学演示仪器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高中生物组合实验箱（通用）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高中生物组合实验箱（分子与细胞）</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高中生物组合实验箱（遗传与进化）</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高中生物组合实验箱（稳态与调节、生物与环境）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高中生物组合实验箱（生物技术与工程）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智能生物显微镜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81"/>
        <w:ind w:firstLine="480"/>
        <w:jc w:val="left"/>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81"/>
        <w:ind w:firstLine="480"/>
        <w:jc w:val="left"/>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612"/>
        <w:gridCol w:w="1110"/>
        <w:gridCol w:w="8142"/>
      </w:tblGrid>
      <w:tr>
        <w:trPr>
          <w:trHeight w:val="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rPr>
                <w:b/>
                <w:bCs/>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功能、性能、配置要求不低于以下要求</w:t>
            </w:r>
            <w:r>
              <w:rPr>
                <w:b/>
                <w:bCs/>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5"/>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规格（长*宽*高）：≥2250mm*750mm*900mm；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2.台面：采用12.7mm实验室专用实芯理化板，周边成型厚度为25.4mm，防腐蚀、耐酸碱、耐高温、抗菌等。</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3.柜体结构：全钢结构柜体，采用厚≥1.0mm冷轧钢板机压成型、焊接制作，并于适当部位予以补强，表面经耐酸碱环氧树脂粉末烤漆处理，喷涂厚度为100微米以上。表面硬度附着力、耐腐蚀。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7.储存功能：桌面可以做演示实验，下方可存储计算机，交换机，路由器、仪器箱，方便实验仪器管理。</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6"/>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规格（长*宽*高）：≥3000mm*700mm*900mm；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3.柜体：为落地型柜体设计，采用厚1.0mm冷轧钢板机压成型、焊接制作，并于适当部位予以补强，表面经耐酸碱环氧树脂粉末烤漆处理，喷涂厚度为100微米以上。表面硬度附着力、耐腐蚀。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7.存储功能：台面以下装置教师电源主控台，预留多媒体设备（电脑；实物展台、DVD）等设备位置。</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1.规格（长*宽*高）：≥1600mm*700mm*1050mm；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2.材质：饰面刨花+钢架+钢制挡板；</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3.工艺：台面及柜体翻板</w:t>
            </w:r>
            <w:r>
              <w:rPr>
                <w:rFonts w:hint="eastAsia" w:ascii="宋体" w:hAnsi="宋体" w:cs="宋体"/>
                <w:b w:val="0"/>
                <w:bCs w:val="0"/>
                <w:color w:val="000000"/>
                <w:sz w:val="20"/>
                <w:szCs w:val="20"/>
                <w:highlight w:val="none"/>
                <w:lang w:bidi="ar"/>
              </w:rPr>
              <w:t xml:space="preserve">采用25mm厚，其他采用16mm厚 E0级环保饰面刨花板，含水率在6%-8%；饰面为整体板面正负误差在0.3mm以内,甲醛释放量≤0.05mg/m³，采用2mm厚PVC同色封边条，使用高温热熔胶自动化贴合，经全自动封边机封边；配置铰链； 底部配有2个2.5寸PU静音刹车轮，2个2.5寸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柜体内部配有2块活动层板便于储物；左侧有2个接线口便于强弱电的接入，推弹式单开门柜。桌脚带刹车轮，移动与固定相互切换。</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规格（长*宽*高）：≥2800mm*600mm*780mm；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1.规格（长*宽*高）：≥1280mm*650mm*820mm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2、台面：采用实芯理化板面板，可抵御多种强酸强碱及有机溶剂的腐蚀.表面光滑，不惧明火，耐极高温度，不易藏污纳垢，台面围边一体注塑成型：1280mm*320mm*35mm,厚度40mm内置挡板固定槽；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3、挡板：采用PP板材压制一体成型,具有防器皿滑落等功能；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4、抽屉：全封闭式防护，可放置仪器等实验用品，抽送轻滑无噪音，强度高，能正常使用五万次以上，长期负重不变形；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5、立柱：采用125mm*48mm，壁厚1.5mm铝合金型材加工而成，外观环保喷涂防氧化处理，横截面与桌脚M6螺丝固定，提高稳定性；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6、横梁：采用35mm*31mm，壁厚1.5mm铝合金型材加工而成，外观流线形设计，简洁美观；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7、桌腿：长570mm宽58mm高96mm，壁厚3mm采用铝合金压铸模具一次性成型。表面设有270mm*20mm塑料装饰条，外观环保喷涂防氧化处理，与立柱端面平滑过渡，整体圆角过渡，防碰伤安全设计；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8、侧装饰板：由上侧板、下侧板、装饰条三件组成，采用ABS环保塑料注塑成型，最大外形650mm*385mm*2.5mm；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9、装饰条：外观规格约为350mm*42mm*2.5mm，采用ABS材质,模具注塑一体成型，颜色搭配，外形美观，设计人性化。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1.规格（长*宽*高）：≥430mm*470mm*660mm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2.采用ABS材料注塑模具成型，正面设有60mm*24mm标识卡槽，周边加厚加强，镂空造型，造型时尚；产品功能：无味无毒、无甲醛释放、强度坚韧、不易变形、耐酸、耐碱、抗腐蚀、防尘防水等功能。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3.小抽屉尺寸：高405mm×宽350mm×深100mm；大抽屉尺寸：高405mm×宽350mm×深130mm，材质：产品主材由ABS塑料制成，强度高、韧性好、耐冲击，不易腐蚀，无毒无味，环保耐用。。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4.拆装连接结构，组装方便，不用胶水粘结不易变形、不易扭曲，达到可重复拆装使用。合理布局加强筋使用平行加强筋，既结实又易于清理卫生。顶板和底板厚度要求不小于30mm，四周保证全与地面接触。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1.规格（长*宽*高）：≥8200mm*600mm*780mm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4.导轨：三节式，静音。</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5.拉手：采用C型不锈钢拉手，造型美观。</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1.规格（长*宽*高）：≥9900mm*600mm*780mm2.台面：采用20mm厚无甲醛新型环保陶瓷台面，台面表面为实验室专业耐腐蚀、耐刻刮、耐污染釉面。坯体一体实芯黑色坯体，釉面和坯体经高温一体烧结而成。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1.规格（长*宽*高）：≥2400mm*750mm*800mm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1.规格（长*宽*高）：≥5000mm*750mm*800mm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1.规格（长*宽*高）：≥400mm*300mm*430mm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2.凳面：采用厚1.0mm冷轧钢板机压成型、焊接制作，并于适当部位予以补强，表面经耐酸碱环氧树脂粉末烤漆处理，喷涂厚度为100微米以上。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框架：采用25mm*25mm方钢型材焊接制作成型，所有钢制配件经过酸洗、磷化、除油、除锈并经过对酸碱和其它化学试剂有极高的环氧树脂金属粉末喷涂高温固化处理。并经高温固化在型材表面之上，具有不脱落、耐腐蚀功能；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4.脚垫：塑料专用垫，并能有效防止桌身受潮，延长设备的使用寿命。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1.规格(直径*H)：≥300mm*450mm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2.凳面：采用环保PP塑料一次性注塑成型，表面菱形凹凸纹路，防滑、耐磨不发光；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3支撑柱：采用直径50mm圆钢管，顶端为直径200mm钢板，采用全周满焊焊接，结构牢固，长期使用也不会出现摇晃松散现象；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4.下端虎爪状凳脚采用铝合金一体压铸成型，爪端预留螺丝眼，配工程塑料脚盘，所有金属材料表面经过防腐氧化处理和纯环氧树脂塑粉高温固化处理，耐蚀性及承重性强。</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1.规格：≥62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mm*59</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mm*92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mm-102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2.座背：网布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3.木板：座曲压10mm厚木板（经过防腐防虫处理）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4.海棉：高密度海棉，回弹力好，不变形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5.扶手：PP固定扶手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6.底盘：普通底盘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7.轮：尼龙轮</w:t>
            </w:r>
            <w:r>
              <w:rPr>
                <w:b w:val="0"/>
                <w:bCs w:val="0"/>
              </w:rPr>
            </w:r>
            <w:r/>
          </w:p>
        </w:tc>
      </w:tr>
      <w:tr>
        <w:trPr>
          <w:trHeight w:val="73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7"/>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2350mm*300mm*450mm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1.规格（长*宽*高）：≥1800mm*300mm*450mm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1.规格（长*宽*高）：≥3000mm*250mm*750mm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1.规格（长*宽*高）：≥4200mm*300mm*750mm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1.规格（长*宽*高）：≥2200mm*300mm*450mm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1.规格：≥长435mm*580mm*800mm/1070mm。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2.柜体:外框尺寸435mm*580mm*750mm，采用ABS材料注塑成型，专用连接件拼装一体化设计，下部内凹130mm，柜门采用人性化弧线型工艺，易碰撞处倒圆角处理。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3.水槽体：内径尺寸：360mm*300mm*195mm，采用PP改性材料注塑成型，壁厚5.0mm。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4.前沿有25mm高挡水沿，耐强酸强碱耐＜80℃有机溶剂并耐150℃以下高温，水槽内带溢水口。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5.三联水嘴： 采用实验室专用三联水嘴90度瓷质阀芯，出水嘴为铜质尖嘴，可拆卸，内有螺纹，铜质表面经过烤漆喷涂处理，增强耐酸碱防腐蚀以及防锈性能，可360度旋转。★政府强制节能产品，签订合同时提供国家确定的认证机构出具的、处于有效期之内的节能产品认证证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6.配有注塑成型PP滴水架，外框尺寸为390mm*65mm/100mm*250mm，配置16个可拆卸式滴水棒，美观实用 ，供洗涤时玻璃器皿的晾干。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7.配件：三口化验水龙头、洗涤水槽、泥沙杂物过滤器、滴水架、水管管路组成。</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1.规格（长*宽*高）：≥1322mm*450mm*1150mm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及工艺：顶板采用25mm厚其他采用16mm厚基材为E0级环保饰面刨花板，含水率在3%-5%；饰面整体板面正负误差在0.3mm以内,密度为0.85K/cm³、甲醛释放量≤0.05mg/m³，表面耐磨、防污、硬度高，不易变色。PVC同色封边，底部带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3.其他：均敞格，配小塑料收纳盒；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4.功能：收纳学习用品、教材备件等。</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1.规格（长*宽*高）：≥5750mm*400mm*3000mm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顶板采用25mm厚其他采用16mm厚的E0级环保饰面刨花板，含水率在3%-5%；饰面整体板面正负误差在0.3mm以内,密度为0.85g/cm3、甲醛释放量≤0.05mg/m³，PVC同色封边。</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2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500mm*2400mm铝木结构，踢脚线采用铝合金型材，上框铝合金滑槽采用壁厚2.5mm的一体成型带凹槽铝合金模具框架，表面经酸砂处理后喷塑，下框橱体基材采用25mm和16㎜厚环保型三聚氰胺板制作，其截面用2㎜厚PVC封边条机械高温热熔胶封边，粘力强、密封性好，牢固、美观、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上部为采用8mm钢化玻璃移门,下部设板式对开门,设活动隔板一块。</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1.规格（长*宽*高）：≥1000mm*1000mm*2000mm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柜体结构：铝合金框架结构。上部高1200mm，三面为5mm厚透明白玻镶嵌，正面为金属包边白玻推拉门设计，内部二层8mm厚钢化玻璃活动隔层；下部橱柜高为800mm，采用16mmE1级三聚氰胺刨花板，以PVC配胶王热熔封边作防火、封边处理。不锈钢C型拉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3.脚垫：采用特制模具ABS注塑脚垫，高度为2.5cm，高度可调，可有效防潮。</w:t>
            </w:r>
            <w:r>
              <w:rPr>
                <w:b w:val="0"/>
                <w:bCs w:val="0"/>
              </w:rPr>
            </w:r>
            <w:r/>
          </w:p>
        </w:tc>
      </w:tr>
      <w:tr>
        <w:trPr>
          <w:trHeight w:val="121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防爆柜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1.规格：1840mm*900mm *510mm；门类型：双开门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2.易燃品储存柜外壳体全部采用1.2mm的冷轧钢板，柜体底座采用2.0mm的冷轧钢板,内外表面经酸洗磷化环氧树脂粉末喷涂，烘热固化处理。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易燃品储存柜体内胆（上，下、左、右内衬板）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4.柜底装有四个移动尼龙轮，便于易燃品毒害品储存柜移动；前轮后有2个手动调节罗杆，方便危化品储存柜定位。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.密封件：柜体门与柜体之间应安装防火膨胀密封件。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8.陶瓷纤维棉：柜体应填充具有保温隔热作用的陶瓷纤维棉（密度130㎏/m3 ，厚度:40mm）。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9.铰链：铰链应为钢琴式铰链，确保门能开180度。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10.电子密码锁：柜体配备电子密</w:t>
            </w:r>
            <w:r>
              <w:rPr>
                <w:rFonts w:hint="eastAsia" w:ascii="宋体" w:hAnsi="宋体" w:cs="宋体"/>
                <w:b w:val="0"/>
                <w:bCs w:val="0"/>
                <w:color w:val="000000"/>
                <w:sz w:val="20"/>
                <w:szCs w:val="20"/>
                <w:highlight w:val="none"/>
                <w:lang w:bidi="ar"/>
              </w:rPr>
              <w:t xml:space="preserve">码锁和机械锁，实现双人双锁管理，同时锁具具有开锁记录查询功能及隐码功能；天地锁锁舌选用坚韧且有弹性的高分子合成塑料制成，耐磨且抗腐蚀性能极强。                                                                                                                                       11.环保性能：国标规定，室内甲醛含量不得超过0.08mg.m3;苯含量不得超过0.09mg.m3。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12.通风控制装置：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13.温湿度及VOC传感器控制报警装置：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13.1高灵敏度电化学探头，精确度高、响应快、稳定性强，探头测量精度不超过±5%。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13.2高精度探头，精确监测温湿度：柜顶应配置温湿度控制器，对柜内相对温湿度实时监控，操作屏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13.3集时控开关、温湿度值、VOC浓度值显示于一体的7英寸液晶工业显示屏，尺寸160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*100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，分辨率1024*600像素 ，具备16位真彩色，防爆、防水、防腐蚀，可触摸控制，方便老师操作。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13.4对于温湿度的监测，用户可自行设置合适的报警点，提高实验室安全等级。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14.配备接地装置实现完全接地。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15.装箱时柜内外的说明标识：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《易燃品毒害品储存柜使用说明书》，《合格证》，《安全储存说明书》，柜门上贴有反光警示标签。</w:t>
            </w:r>
            <w:r>
              <w:rPr>
                <w:b w:val="0"/>
                <w:bCs w:val="0"/>
              </w:rPr>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规格：≥440mm*340mm*280mm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规格：≥550mm*450mm*310mm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3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三联。实验室专用化验水嘴、铜质陶瓷芯阀，表面经环氧树脂喷涂处理。</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规格：≥400mm*280mm*550mm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采用高强度PP材料，耐腐蚀，不易老化；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模具一体成型，底部集水盘设有排水口及软管；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可拆卸式滴水棒，使用方便，拆卸后可盖上孔塞，美观实用；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双口。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1、喷头：软性橡胶，出水经缓压处理呈泡沫状水柱，防止冲伤眼睛。</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2、防尘盖：PP材质，使用时自动被水冲开；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3、水流开关：水流开启、水流锁定功能一并完成，方便使用；</w:t>
            </w:r>
            <w:r>
              <w:rPr>
                <w:b w:val="0"/>
                <w:bCs w:val="0"/>
              </w:rPr>
            </w:r>
            <w:r/>
          </w:p>
        </w:tc>
      </w:tr>
      <w:tr>
        <w:trPr>
          <w:trHeight w:val="55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规格：≥460mm*360mm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1.控制显示采用液晶真彩触摸屏和数据显示一体化。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2.具备1个220V交流电源输出插座。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3.系统具备漏电保护功能。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4.可对学生机锁定，锁定后学生键盘无效，和教师机保持同步。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5.密码控制，本产品由教师输入正确的密码，方可启动实验电源的控制系统（教师可自定密码），对电源控制台进行操作防误操作方便教师合理安排实验。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6.通过教师控制界面可设置直流1.5-30V分辨率0.1V,交流1-30V分辨率1V，具备过载保护点智能侦测功能，电流高于过载保护功点则自动保护，电流低于过载保护点则自动恢复至设定值。</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台式。长度600mm,20W光源；亮度高，独立开关，光照角度可调。</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86型五孔插座，10A，钢制电源盒</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000000" w:themeColor="text1"/>
                <w:sz w:val="20"/>
                <w:szCs w:val="20"/>
                <w:highlight w:val="none"/>
                <w:lang w:bidi="ar"/>
              </w:rPr>
              <w:t xml:space="preserve">PC单机版。</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1. 要求所有实验支持在任意视角下对实验进行观察和交互式操作。要求所有实验中的模型为3D高精度模型，支持无极放大，实验模型高保真。</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2.软件要求提供与国家课程标准中知识点同步的实验，应包含分子与细胞、遗传与进化、稳态与调节、生物技术与工程等实验内容与实验场景，完整实验数量不少于50个。</w:t>
            </w:r>
            <w:r>
              <w:rPr>
                <w:rFonts w:ascii="SimSun" w:hAnsi="SimSun" w:eastAsia="SimSun" w:cs="SimSun"/>
                <w:color w:val="000000" w:themeColor="text1"/>
                <w:sz w:val="20"/>
              </w:rPr>
              <w:t xml:space="preserve">(签订合同时提供软件功能截图证明文件。)</w:t>
            </w:r>
            <w:r>
              <w:rPr>
                <w:color w:val="000000" w:themeColor="text1"/>
              </w:rP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themeColor="text1"/>
                <w:sz w:val="20"/>
                <w:szCs w:val="20"/>
                <w:highlight w:val="none"/>
                <w:lang w:bidi="ar"/>
              </w:rPr>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软件要求提供中学生物学科高清显微素材库，素材图片数量不少于75张，每张都支持4X、10X、40X物镜进行观察。所有素材库图片都支持使用显微镜进行仿真实验操作，完全模拟真实操作。并支持一键切换至全景图模式。图片支持自由移动和缩放。</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4.软件要求提供人体生理结构探究模块，涵盖运动系统、神经系统、内分泌系统、血液循环系统和淋巴和免疫系统等9大系统，要求不少于4个人体系统支持器官自由拆分，组合，并配以相关文字说明。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软件要求提供人体生理功能模块，其中包括人体内物质的运输、人体的呼吸、人体内废物的排出、人体的营养、人体的运动、人体生命活动的调节、人的生殖与发育等知识点，数量不少于50个，包括模型、动画以及教学互动场景。重点器官和系统支持自由拆分，组合。</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签订合同时提供软件功能截图证明文件。</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6.软件要求提供微观世界模块，涵盖真核生物、原核生物、病毒和亚病毒、分子与细胞、遗传与进化等知识点，数量不少于80个。支持任意视角对实验对象进行独立观察、展示。</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7.软件要求提供中学生物实验对象库，支持任意视角对实验对象进行独立观察、展示。重点实验器材及生物对象支持自由拆分，组合。</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8.以上所有软件功能要求在同一软件系统平台中进行操作。方便用户管理、使用。</w:t>
            </w: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1.要求所有实验支持在任意视角下对实验进行观察和交互式操作。要求所有实验中的模型为3D高精度模型，支持无极放大，实验模型高保真。</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2.软件要求提供与国家课程标准中知识点同步的实验，完整实验数量不少于100个。支持在实验目录页即可直接查看具体的实验内容简介。</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3.软件要求提供的中学物理实验内容模块需根据知识点分类，其中包含磁场，光及其应用，热力学定律，原子与原子核等实验内容与实验场景。</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w:t>
            </w:r>
            <w:r>
              <w:rPr>
                <w:rFonts w:hint="eastAsia" w:ascii="宋体" w:hAnsi="宋体" w:cs="宋体"/>
                <w:b w:val="0"/>
                <w:bCs w:val="0"/>
                <w:color w:val="000000"/>
                <w:sz w:val="20"/>
                <w:szCs w:val="20"/>
                <w:highlight w:val="none"/>
                <w:lang w:bidi="ar"/>
              </w:rPr>
              <w:t xml:space="preserve">4.软件要求提供可供自由搭建，组合的电学实验探究平台、力学和运动学探究平台、光学探究平台，其中要求提供的可搭建实验对象数量不少于75款，要求搭建出的实验不仅能够逼真准确的呈现实验现象，并能同步显示相关的实验动态数据，实验数据要求具有严谨的科学性。用户创建的实验可以保存和再编辑。其中电学探究平台要求可以在实验中以箭头的形式清晰明了的显示出电流大小及方向。签订合同时提供软件功能截图证明文件</w:t>
            </w:r>
            <w:r>
              <w:rPr>
                <w:rFonts w:hint="eastAsia" w:ascii="宋体" w:hAnsi="宋体" w:cs="宋体"/>
                <w:b w:val="0"/>
                <w:bCs w:val="0"/>
                <w:color w:val="000000"/>
                <w:sz w:val="20"/>
                <w:szCs w:val="20"/>
                <w:highlight w:val="none"/>
                <w:lang w:eastAsia="zh-CN" w:bidi="ar"/>
              </w:rPr>
              <w:t xml:space="preserve">。</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5.软件提供实验截屏和微视频录制功能，支持用户在实验过程中，根据教学需求自由选择功能存储。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6.软件要求支持画笔功能，能够在实验操作界面添加标注、进行重点区域圈划等，画笔笔迹支持撤销、删除，便于老师在实验讲解过程中进行重难点圈注。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7.以上所有软件功能要求在同一软件系统平台中进行操作。</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1.具有三摄像头，1个主摄像头2个辅助摄像头，整机≤5kg；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2.整机一体化设计，机身整体高度≤536mm，底座长宽≤265mm*128mm，主摄像头臂杆长宽≤462mm*55mm，侧拍摄像头臂杆和主摄像头支柱夹角≤30度，侧拍摄像头可折叠臂杆长度≤260mm；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3.整机待机电流：12V/150mA；整机负载工作电流：12V/450mA；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4.具备辅助照明LED，可以调整亮度；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主摄像头：像素≥800W；分辨率≥3264*2448；对焦方式：定焦；扫描幅面≥A3；光学解像力≥A3幅面170lp/mm；球形畸变&lt;1.5%；梯形失真&lt;1.5%；出图响应时间&lt;3S；自动过曝控制；图像帧率3264×2448@15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6.侧拍辅助摄像头采用活动机身，支持折叠，支持摄像头旋转调节拍摄位置；▲</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签订合同时提供不同角度的折叠及旋转真实场景图片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7.侧拍辅助摄像头：像素≥500W；分辨率≥2592*1944；扫描幅面≥A4；光学解像力≥A4幅面170lp/mm；球形畸变&lt;1.5%；梯形失真&lt;1.5%；出图响应时间&lt;1S；自动过曝控制；图像帧率2592*1944@10帧；图像色彩≥24位；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8.顶部辅助摄像头采用活动摄像头，支持0-270度任意角度旋转调整；▲</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签订合同时提供不同旋转角度的真实场景图片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9.顶部辅助摄像头：像素≥200W；对焦方式：定焦；球形畸变&lt;5%；梯形失真&lt;5%；出图响应时间&lt;1S；图像色彩≥24位。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1.支持接入多目教学示范仪进行书写示范教学；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2.支持示范画面自由组合切换成画中画、双画面、单画面等格式；▲</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签订合同时提供产品功能真实场景界面截图</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3.支持视频画面接入大屏进行示范教学；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4.支持录制高清示范视频，录制视频可作为微课资源；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5.录制视频时支持同步录制教学音频；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6.支持截取示范视频画面为图片；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7.系统支持屏幕任意批注功能；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8.支持教学软件界面录制信号和多目教学示范仪视频信号同步采集；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9.自动合成微课视频文件，提供文件管理维护功能，支持下载、上传、删除、重命名以及文件管理功能。</w:t>
            </w:r>
            <w:r>
              <w:rPr>
                <w:b w:val="0"/>
                <w:bCs w:val="0"/>
              </w:rPr>
            </w:r>
            <w:r/>
          </w:p>
        </w:tc>
      </w:tr>
      <w:tr>
        <w:trPr>
          <w:trHeight w:val="40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8英寸。</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（1）控制模式：远程控制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（2）控制工具：安卓系统8英寸全高清屏幕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（3）控制功能:有线、无线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（A）通风控制：可精确控制通风风量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（B）供水控制：集中控制整室给排水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（C）照明控制：分组控制整室照明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（D）电源控制：控制学生AC220V电源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（E）摇臂控制：摇臂的升起与降落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8"/>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1.控制模式：安全模式一键启动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2.配备电气：（A）漏电保护开关（B）固态继电器（C）开关电源（D）网络控制开关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无线教学扩声主机整机尺寸长≤150mm，外壳ABS材质；主机设备采用数字音频处理器，无线发射和接收一体式设计；无线频段：450Mhz～700Mhz，支持NFC配对，具有配对指示灯提示功能；可通过拨码对UHF的接收和发射频道（频点）进行选择，具有OLED显示屏，可显示当前UFH接收和发射的频率点和蓝牙开启和关闭的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4.无线教学扩声主机通信协议：支持无线UHF。信噪比:（麦克风-主机）：≥83dB；（主机线路-主机）：≥83dB。总谐波失真:≤0.12%。</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一体化无感拾音麦克风；麦克风阵列：≥2单元麦克风模组阵列；麦克风内置高性能ARM音频处理器，内置音频算法，超低信号处理延时，能有效过滤噪音，真实还原人声，无需额外配置音频算法处理主机；调试接口：支持现场调试和软件升级，可通过USB接口对麦克风进行现场参数调试设置和软件升级；可通过遥控器控制麦克风的开启、关闭，调节音量大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6.一体化无感拾音麦克风灵敏度：-44dB(V/Pa)±3dB@1kHz，信噪比：≥62dB(A)。采样率：≥16K采样率。支持自适应波束。信号处理延时：≤18ms。支持噪声抑制(ANS)。支持自动混响抑制。▲检测依据GB/T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7.无线扩声器外壳材质：ABS材质，采用全音域喇叭与导向式音箱设计，音色饱满；整机尺寸：≤300mm。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8.无线扩声器支持专业数字U段无线传输，信噪比：≥80dB@1W，输入灵敏度：（-20dbFS）-0dbFS，失真度（失真+噪声）：＜0.5%@1W。▲检测依据GB/T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无线麦克风整机尺寸长≤150mm，外壳ABS材质；麦克风类型：全指向性驻极体，使用寿命：≥280个循环，咪头灵敏度：-32dBV/Pa±2dB，咪头频率响应：100Hz～20KHz，无线频段：450Mhz～700Mhz，咪头最大声压级：≥110dB@(THD&lt;3%)，咪头信噪比：≥70dB@(f=1KHZ,S.P.L=1Pa，A-weighted)；具有音量大小调节、PPT翻页和激光笔功能，使用时无固定位置要求，在教室范围内可自由移动。</w:t>
            </w:r>
            <w:r>
              <w:rPr>
                <w:b w:val="0"/>
                <w:bCs w:val="0"/>
              </w:rPr>
            </w:r>
            <w:r/>
          </w:p>
        </w:tc>
      </w:tr>
      <w:tr>
        <w:trPr>
          <w:trHeight w:val="153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化学吊装式控制设备</w:t>
            </w:r>
            <w:r>
              <w:rPr>
                <w:rFonts w:hint="eastAsia" w:ascii="宋体" w:hAnsi="宋体" w:cs="宋体"/>
                <w:color w:val="000000" w:themeColor="text1"/>
                <w:sz w:val="20"/>
                <w:szCs w:val="20"/>
                <w:highlight w:val="none"/>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1.规格：≥1200mm*766mm*300mm为一组（可根据环境尺寸调整长度）</w:t>
              <w:br/>
              <w:t xml:space="preserve">2、材质：铝合金型材、冷轧板经过酸洗、磷化、除油、除锈并经过粉末喷涂固化处理。</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3、框架采用铝合金一体成型；照明舱体采用冷轧钢板折弯成型。</w:t>
            </w:r>
            <w:r>
              <w:rPr>
                <w:color w:val="000000" w:themeColor="text1"/>
              </w:rP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物理吊装式控制设备</w:t>
            </w:r>
            <w:r>
              <w:rPr>
                <w:rFonts w:hint="eastAsia" w:ascii="宋体" w:hAnsi="宋体" w:cs="宋体"/>
                <w:color w:val="000000" w:themeColor="text1"/>
                <w:sz w:val="20"/>
                <w:szCs w:val="20"/>
                <w:highlight w:val="none"/>
                <w:lang w:bidi="ar"/>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1.规格：≥1200*600*160mm为一组（可根据环境尺寸调整长度）</w:t>
              <w:br/>
              <w:t xml:space="preserve">2、材质：铝合金型材、冷轧板经过酸洗、磷化、除油、除锈并经过粉末喷涂固化处理。</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3、框架采用铝合金一体成型；照明舱体采用冷轧钢板折弯成型。</w:t>
            </w:r>
            <w:r>
              <w:rPr>
                <w:color w:val="000000" w:themeColor="text1"/>
              </w:rP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p>
        </w:tc>
      </w:tr>
      <w:tr>
        <w:trPr>
          <w:trHeight w:val="2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智能摇臂控制系统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摇臂动力采用为直流24V减速低压电机</w:t>
            </w:r>
            <w:r>
              <w:rPr>
                <w:b w:val="0"/>
                <w:bCs w:val="0"/>
              </w:rPr>
            </w:r>
            <w:r/>
          </w:p>
        </w:tc>
      </w:tr>
      <w:tr>
        <w:trPr>
          <w:trHeight w:val="5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功能模块采用模具一体成型，形状为长方形设计，功能模块可安装电源，可选配网络及上下水模块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（1）规格：≥400mm*120mm*345mm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（2）材料：ABS注塑成型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（3）五孔插座</w:t>
            </w:r>
            <w:r>
              <w:rPr>
                <w:b w:val="0"/>
                <w:bCs w:val="0"/>
              </w:rPr>
            </w:r>
            <w:r/>
          </w:p>
        </w:tc>
      </w:tr>
      <w:tr>
        <w:trPr>
          <w:trHeight w:val="6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（1）灯架材质：铝合金型材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（2）反光模式：镀铬镜面反光层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（3）灯管模式：LED灯珠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（4）外层保护方式：1mm厚半透明亚克力板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（5）配置数量：每张实验台一组</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（6）功能：增加室内光照度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（2）匹配线径：塑套护套线2*0.75平方多股铜芯软线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（2）匹配线径：3*2.5平方多股铜芯软线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室内网线：五类网线，传输速率100Mbps</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（1）角钢固件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（2）直角座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（3）吊装挂件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（1）型号：DN75型                                                                                                                                                                                                             （2）管道规格：直径75mm                         </w:t>
            </w:r>
            <w:r>
              <w:rPr>
                <w:rFonts w:hint="eastAsia" w:ascii="宋体" w:hAnsi="宋体" w:cs="宋体"/>
                <w:b w:val="0"/>
                <w:bCs w:val="0"/>
                <w:color w:val="000000"/>
                <w:sz w:val="20"/>
                <w:szCs w:val="20"/>
                <w:highlight w:val="none"/>
                <w:lang w:bidi="ar"/>
              </w:rPr>
              <w:t xml:space="preserve">                                                                                                                                                                         （3）活动关节：三关节/旋转360°                                                                     </w:t>
            </w:r>
            <w:r>
              <w:rPr>
                <w:rFonts w:hint="eastAsia" w:ascii="宋体" w:hAnsi="宋体" w:cs="宋体"/>
                <w:b w:val="0"/>
                <w:bCs w:val="0"/>
                <w:color w:val="000000"/>
                <w:sz w:val="20"/>
                <w:szCs w:val="20"/>
                <w:highlight w:val="none"/>
                <w:lang w:bidi="ar"/>
              </w:rPr>
              <w:t xml:space="preserve">                                                                                                                       （4）风量大小：自由调节                                                                                                                             </w:t>
            </w:r>
            <w:r>
              <w:rPr>
                <w:rFonts w:hint="eastAsia" w:ascii="宋体" w:hAnsi="宋体" w:cs="宋体"/>
                <w:b w:val="0"/>
                <w:bCs w:val="0"/>
                <w:color w:val="000000"/>
                <w:sz w:val="20"/>
                <w:szCs w:val="20"/>
                <w:highlight w:val="none"/>
                <w:lang w:bidi="ar"/>
              </w:rPr>
              <w:t xml:space="preserve">                                                                        （5）喇叭口材质：透明PE注塑成型                                                                                                                                                                       </w:t>
            </w:r>
            <w:r>
              <w:rPr>
                <w:rFonts w:hint="eastAsia" w:ascii="宋体" w:hAnsi="宋体" w:cs="宋体"/>
                <w:b w:val="0"/>
                <w:bCs w:val="0"/>
                <w:color w:val="000000"/>
                <w:sz w:val="20"/>
                <w:szCs w:val="20"/>
                <w:highlight w:val="none"/>
                <w:lang w:bidi="ar"/>
              </w:rPr>
              <w:t xml:space="preserve">                  （6）关节材质：PVC注塑成型                                                                                                                                                                                               （7）管道材质：铝合金型材，表面经电泳、静电环氧树脂粉末喷涂处理</w:t>
            </w:r>
            <w:r>
              <w:rPr>
                <w:b w:val="0"/>
                <w:bCs w:val="0"/>
              </w:rPr>
            </w:r>
            <w:r/>
          </w:p>
        </w:tc>
      </w:tr>
      <w:tr>
        <w:trPr>
          <w:trHeight w:val="2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规格：功率5.5KW，箱式风机。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尺寸：≥1100mm*1100mm*1100mm，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重量：210kg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电压：380V</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工作时：噪音≤70分贝,配一体化消声器材、风流量10210-15600M3/h，全压946-890Pa，转速：950r/min。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含风机配套配件。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PVC材质，主要用于室外主管道与室内主管道的连接。</w:t>
            </w:r>
            <w:r>
              <w:rPr>
                <w:b w:val="0"/>
                <w:bCs w:val="0"/>
              </w:rPr>
            </w:r>
            <w:r/>
          </w:p>
        </w:tc>
      </w:tr>
      <w:tr>
        <w:trPr>
          <w:trHeight w:val="8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1.具备多种计量单位转换，计数功能及动物称重功能，装置RS232C输出接口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2.称量范围(g)：300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3.可读性/精度：10mg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4.外形尺寸（mm）：270×190×110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5.秤盘尺寸（mm）：Ф130</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1.PH测量范围：0.00-14.00Ph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2.分辨率：±0.01Ph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3.校准点：3点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4.使用校准液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5.温度补偿范围：0-50℃32-122F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6.温度补偿方式：自动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7.温度显示:标准化温度25℃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8.数据锁定：手动锁定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9.操作温度：0-50℃32-122F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.电源类型：4*LR44</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.电源使用时间：约80小时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1.可对50ml-20L标准或非标准反应瓶进行搅拌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2.硅胶垫工作盘面，外壳采用金属外壳，高强度，耐高温，防腐蚀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3.整机设计精致小巧，30°斜面操控面板适合坐位和站位视角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4.高磁通量设计，搅拌能力强，采用无马达驱动方式，噪音小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5.工作盘尺寸（mm）：Φ137mm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6.盘面材料：硅胶垫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7.转速范围：200-1600rpm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8.定时范围：0~99h59min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9.搅拌点位数量：1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10.单个最大搅拌量：20L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11.搅拌子最长尺寸：80mm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12.输入电源：AC220V50/60Hz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13.功率：20W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14.熔断器：250V,1A,Ф5x20</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一列两孔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1.温度范围：室温-100℃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3.精度：0.1℃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4.工作盘尺寸：30*15*14cm</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1.仪器特点大屏幕、液晶显示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2.同时测量或显示pH、温度或mV、温度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3.电器接插件低于平面，有助于防腐和安全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4.仪器级别0.01级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5.测量范围pH:(-2.00~18.00)pHmV:(-1999~0)，（0~1999)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6.温度：(0~99.9)℃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7.分辨率pH：±0.01mV：±1mV温度：0.1℃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8.基本误差pH：±0.01pHmV:±1mV温度：0.3℃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9.输入阻抗不小于1×1012Ω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10.稳定性±0.01pH/3h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11.温度补偿范围（0~100）℃手动或自动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12.仪器配置pH复合电极一支，pH标准缓冲试剂2套，自动温度补偿电极1支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u w:val="none"/>
              </w:rPr>
            </w:pPr>
            <w:r>
              <w:rPr>
                <w:rFonts w:hint="eastAsia" w:ascii="宋体" w:hAnsi="宋体" w:cs="宋体"/>
                <w:b w:val="0"/>
                <w:bCs w:val="0"/>
                <w:color w:val="000000"/>
                <w:sz w:val="20"/>
                <w:szCs w:val="20"/>
                <w:highlight w:val="none"/>
                <w:lang w:bidi="ar"/>
              </w:rPr>
              <w:t xml:space="preserve">1.采用任意定位移门系统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2.外壳采用彩钢板一体成型，工作台面为SUS304拉丝不锈钢，耐腐蚀、易清洗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3.照明和杀菌系统安全互锁，紫外灯可定时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4.数显式液晶控制界面，人性化设计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5.垂直准闭合式台面，操作室下降流气幕的形成，可有效防止外部气体投入和操作区洁净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6.配置有HEPA高效空气过滤器，设有初效过滤器进行初步过滤，可有效延长高效过滤器使用寿命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7.菌落数≤0.5个/皿·时（Φ90mm培养平皿）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8</w:t>
            </w:r>
            <w:r>
              <w:rPr>
                <w:rFonts w:hint="eastAsia" w:ascii="宋体" w:hAnsi="宋体" w:cs="宋体"/>
                <w:b w:val="0"/>
                <w:bCs w:val="0"/>
                <w:color w:val="000000"/>
                <w:sz w:val="20"/>
                <w:szCs w:val="20"/>
                <w:highlight w:val="none"/>
                <w:lang w:bidi="ar"/>
              </w:rPr>
              <w:t xml:space="preserve">.平均风速0.25～0.45m/s（三档风速可调）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9</w:t>
            </w:r>
            <w:r>
              <w:rPr>
                <w:rFonts w:hint="eastAsia" w:ascii="宋体" w:hAnsi="宋体" w:cs="宋体"/>
                <w:b w:val="0"/>
                <w:bCs w:val="0"/>
                <w:color w:val="000000"/>
                <w:sz w:val="20"/>
                <w:szCs w:val="20"/>
                <w:highlight w:val="none"/>
                <w:lang w:bidi="ar"/>
              </w:rPr>
              <w:t xml:space="preserve">.噪音≤62dB（A）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.振动半峰值≤0.5μM（x、y、z方向）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.照度≥300Lx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2</w:t>
            </w:r>
            <w:r>
              <w:rPr>
                <w:rFonts w:hint="eastAsia" w:ascii="宋体" w:hAnsi="宋体" w:cs="宋体"/>
                <w:b w:val="0"/>
                <w:bCs w:val="0"/>
                <w:color w:val="000000"/>
                <w:sz w:val="20"/>
                <w:szCs w:val="20"/>
                <w:highlight w:val="none"/>
                <w:lang w:bidi="ar"/>
              </w:rPr>
              <w:t xml:space="preserve">.电源AC单相220V/50Hz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3</w:t>
            </w:r>
            <w:r>
              <w:rPr>
                <w:rFonts w:hint="eastAsia" w:ascii="宋体" w:hAnsi="宋体" w:cs="宋体"/>
                <w:b w:val="0"/>
                <w:bCs w:val="0"/>
                <w:color w:val="000000"/>
                <w:sz w:val="20"/>
                <w:szCs w:val="20"/>
                <w:highlight w:val="none"/>
                <w:lang w:bidi="ar"/>
              </w:rPr>
              <w:t xml:space="preserve">.最大功率600W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4</w:t>
            </w:r>
            <w:r>
              <w:rPr>
                <w:rFonts w:hint="eastAsia" w:ascii="宋体" w:hAnsi="宋体" w:cs="宋体"/>
                <w:b w:val="0"/>
                <w:bCs w:val="0"/>
                <w:color w:val="000000"/>
                <w:sz w:val="20"/>
                <w:szCs w:val="20"/>
                <w:highlight w:val="none"/>
                <w:lang w:bidi="ar"/>
              </w:rPr>
              <w:t xml:space="preserve">.重量120Kg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5</w:t>
            </w:r>
            <w:r>
              <w:rPr>
                <w:rFonts w:hint="eastAsia" w:ascii="宋体" w:hAnsi="宋体" w:cs="宋体"/>
                <w:b w:val="0"/>
                <w:bCs w:val="0"/>
                <w:color w:val="000000"/>
                <w:sz w:val="20"/>
                <w:szCs w:val="20"/>
                <w:highlight w:val="none"/>
                <w:lang w:bidi="ar"/>
              </w:rPr>
              <w:t xml:space="preserve">.工作区尺寸W1×D1×H1 1140mm×485mm×515mm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6</w:t>
            </w:r>
            <w:r>
              <w:rPr>
                <w:rFonts w:hint="eastAsia" w:ascii="宋体" w:hAnsi="宋体" w:cs="宋体"/>
                <w:b w:val="0"/>
                <w:bCs w:val="0"/>
                <w:color w:val="000000"/>
                <w:sz w:val="20"/>
                <w:szCs w:val="20"/>
                <w:highlight w:val="none"/>
                <w:lang w:bidi="ar"/>
              </w:rPr>
              <w:t xml:space="preserve">.外型尺寸W×D×H1 300mm×550mm×1600mm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.适用</w:t>
            </w:r>
            <w:r>
              <w:rPr>
                <w:rFonts w:hint="eastAsia" w:ascii="宋体" w:hAnsi="宋体" w:cs="宋体"/>
                <w:b w:val="0"/>
                <w:bCs w:val="0"/>
                <w:color w:val="000000"/>
                <w:sz w:val="20"/>
                <w:szCs w:val="20"/>
                <w:highlight w:val="none"/>
                <w:u w:val="none"/>
                <w:lang w:bidi="ar"/>
              </w:rPr>
              <w:t xml:space="preserve">人数双人/单面</w:t>
            </w:r>
            <w:r>
              <w:rPr>
                <w:rFonts w:hint="eastAsia" w:ascii="宋体" w:hAnsi="宋体" w:cs="宋体"/>
                <w:b w:val="0"/>
                <w:bCs w:val="0"/>
                <w:color w:val="000000"/>
                <w:sz w:val="20"/>
                <w:szCs w:val="20"/>
                <w:highlight w:val="none"/>
                <w:u w:val="none"/>
                <w:lang w:bidi="ar"/>
              </w:rPr>
              <w:br w:type="textWrapping" w:clear="all"/>
            </w:r>
            <w:r>
              <w:rPr>
                <w:rFonts w:hint="eastAsia" w:ascii="宋体" w:hAnsi="宋体" w:cs="宋体"/>
                <w:b w:val="0"/>
                <w:bCs w:val="0"/>
                <w:color w:val="000000"/>
                <w:sz w:val="20"/>
                <w:szCs w:val="20"/>
                <w:highlight w:val="none"/>
                <w:u w:val="none"/>
                <w:lang w:bidi="ar"/>
              </w:rPr>
              <w:t xml:space="preserve">1</w:t>
            </w:r>
            <w:r>
              <w:rPr>
                <w:rFonts w:hint="eastAsia" w:ascii="宋体" w:hAnsi="宋体" w:cs="宋体"/>
                <w:b w:val="0"/>
                <w:bCs w:val="0"/>
                <w:color w:val="000000"/>
                <w:sz w:val="20"/>
                <w:szCs w:val="20"/>
                <w:highlight w:val="none"/>
                <w:u w:val="none"/>
                <w:lang w:val="en-US" w:eastAsia="zh-CN" w:bidi="ar"/>
              </w:rPr>
              <w:t xml:space="preserve">8</w:t>
            </w:r>
            <w:r>
              <w:rPr>
                <w:rFonts w:hint="eastAsia" w:ascii="宋体" w:hAnsi="宋体" w:cs="宋体"/>
                <w:b w:val="0"/>
                <w:bCs w:val="0"/>
                <w:color w:val="000000"/>
                <w:sz w:val="20"/>
                <w:szCs w:val="20"/>
                <w:highlight w:val="none"/>
                <w:u w:val="none"/>
                <w:lang w:bidi="ar"/>
              </w:rPr>
              <w:t xml:space="preserve">.荧光灯</w:t>
            </w:r>
            <w:r>
              <w:rPr>
                <w:rFonts w:hint="eastAsia" w:ascii="宋体" w:hAnsi="宋体" w:cs="宋体"/>
                <w:b w:val="0"/>
                <w:bCs w:val="0"/>
                <w:color w:val="000000"/>
                <w:sz w:val="20"/>
                <w:szCs w:val="20"/>
                <w:highlight w:val="none"/>
                <w:u w:val="none"/>
                <w:lang w:eastAsia="zh-CN" w:bidi="ar"/>
              </w:rPr>
              <w:t xml:space="preserve">规格</w:t>
            </w:r>
            <w:r>
              <w:rPr>
                <w:rFonts w:hint="eastAsia" w:ascii="宋体" w:hAnsi="宋体" w:cs="宋体"/>
                <w:b w:val="0"/>
                <w:bCs w:val="0"/>
                <w:color w:val="000000"/>
                <w:sz w:val="20"/>
                <w:szCs w:val="20"/>
                <w:highlight w:val="none"/>
                <w:u w:val="none"/>
                <w:lang w:val="en-US" w:eastAsia="zh-CN" w:bidi="ar"/>
              </w:rPr>
              <w:t xml:space="preserve">30W</w:t>
            </w:r>
            <w:r>
              <w:rPr>
                <w:rFonts w:hint="eastAsia" w:ascii="宋体" w:hAnsi="宋体" w:cs="宋体"/>
                <w:b w:val="0"/>
                <w:bCs w:val="0"/>
                <w:color w:val="000000"/>
                <w:sz w:val="20"/>
                <w:szCs w:val="20"/>
                <w:highlight w:val="none"/>
                <w:u w:val="none"/>
                <w:lang w:bidi="ar"/>
              </w:rPr>
              <w:t xml:space="preserve">/紫外灯规格</w:t>
            </w:r>
            <w:r>
              <w:rPr>
                <w:rFonts w:hint="eastAsia" w:ascii="宋体" w:hAnsi="宋体" w:cs="宋体"/>
                <w:b w:val="0"/>
                <w:bCs w:val="0"/>
                <w:color w:val="000000"/>
                <w:sz w:val="20"/>
                <w:szCs w:val="20"/>
                <w:highlight w:val="none"/>
                <w:u w:val="none"/>
                <w:lang w:val="en-US" w:eastAsia="zh-CN" w:bidi="ar"/>
              </w:rPr>
              <w:t xml:space="preserve">30W</w:t>
            </w:r>
            <w:r>
              <w:rPr>
                <w:b w:val="0"/>
                <w:bCs w:val="0"/>
              </w:rPr>
            </w:r>
            <w:r/>
          </w:p>
        </w:tc>
      </w:tr>
      <w:tr>
        <w:trPr>
          <w:trHeight w:val="3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1.不锈钢口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2.温度设定范围：0-330度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3.输入电压：AC220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4.功率：35W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5.包装尺寸180mm*100mm*205mm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6.镊子架1个</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1.容积：250L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2.控温范围：0～50℃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3.温度波动度：±1.0℃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4.温度偏差：±1.5℃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5.温度不均匀度：≤1.5℃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6.温度最大可编程段数：多段，液晶显示器，光源为LED光源，灯管为DC24V弱电压。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7.光照级数：0～100级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8.光照度：0-12000LUX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9.升温时间：10℃升至40℃为60分钟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10.降温时间：40℃降至10℃为60分钟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11.加热功率：200W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12.压缩机功率：200W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13.压缩机动延时保护时间：3分钟左右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14.制冷剂：R134a（无氟）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15.噪音：＜70Db</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16.工作方式：连续运行（压缩机间歇工作）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17.工作环境：温度0～40℃湿度85%RH以下，无腐蚀性气体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18.电源：220±22V、50±0.5HZ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19.内部尺寸500mm*500mm*1040mm，外部尺寸600mm*670mm*1650mm</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4.每层均配置荧光灯，且各层独立布线控制启闭，可视需要进行光照。每层灯独立开关（根据客户需求可以定制每组独立开光控制）。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17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4.每层均配置配白红光双色或白红蓝三色植物专用生长灯，且各层独立布线控制启闭，可视需要进行光照。每层灯独立开关（根据客户需求可以定制每组独立开光控制）。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6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9"/>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容器采用食品级材质。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2、透光率大于90%，雾度小于1%，有水晶般的光泽。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3、低压热变形温度(HDT@0.455MPa)根据牌号不同在94℃-109℃之间。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4、容积1000mL。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5、专用于高中果酒果醋制作实验，可提供有氧发酵和无氧发酵两种方式。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6、果酒果醋发酵装置，针孔发酵发泡装置，能够计算不同时间段发酵速度的变化。</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35-40L点加热酿酒设备，带冷却器，不锈钢材质</w:t>
            </w:r>
            <w:r>
              <w:rPr>
                <w:b w:val="0"/>
                <w:bCs w:val="0"/>
              </w:rPr>
            </w:r>
            <w:r/>
          </w:p>
        </w:tc>
      </w:tr>
      <w:tr>
        <w:trPr>
          <w:trHeight w:val="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金属接种棒3盒；接种丝镍铬丝10包；玻璃涂布器2盒；一次性培养皿2箱；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1.紫外消毒车采用双灯管结构，并可以单独使用，灯臂角度可以180度调节，不用时请垂放关上保护门以免灯管破坏，又能保持灯管清洁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2.定时器可以在120分钟内定时控制消毒时间，定时器工作完毕会自行断路而灯管熄灭</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3.形式为移动式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4.安全防护分类为I类</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5.灯臂长度为：920mm+2mm,灯臂调节角度为0-180度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6.输入功率为：150VA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7.环境温度：5-40C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8.相对温度：80%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9.电源220V+22V50Hz+1Hz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10.紫外线波长253.7A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11.电流电压220V50Hz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12.功率2×30W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13.灯臂调节角度:0-180°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14.定时范围：1-120分钟，其最大定时误差&lt;=15min</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1.31/2位液晶显示</w:t>
              <w:br/>
              <w:t xml:space="preserve">2.测量范围:20/200/2000/20000Lux</w:t>
              <w:br/>
              <w:t xml:space="preserve">3.分辨率:0.1Lux</w:t>
              <w:br/>
              <w:t xml:space="preserve">4.重复测试:±2%</w:t>
              <w:br/>
              <w:t xml:space="preserve">5.温度特性:±0.1%/℃</w:t>
              <w:br/>
              <w:t xml:space="preserve">6.取样率:Approx.2times/sec</w:t>
              <w:br/>
              <w:t xml:space="preserve">7.记录器输出:DC2V/f.s.</w:t>
              <w:br/>
              <w:t xml:space="preserve">8.操作及储存温湿度:0℃to40℃ ＜70%R.H.</w:t>
              <w:br/>
              <w:t xml:space="preserve">9.光检测器尺寸:≥100mm(L)x60mm(W)x27mm(H)</w:t>
              <w:br/>
              <w:t xml:space="preserve">10.电表尺寸:≥135mm(L)x72mm(W)x33mm(H)</w:t>
            </w:r>
            <w:r>
              <w:rPr>
                <w:color w:val="000000" w:themeColor="text1"/>
              </w:rPr>
            </w:r>
          </w:p>
          <w:p>
            <w:pPr>
              <w:pStyle w:val="881"/>
              <w:jc w:val="both"/>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p>
        </w:tc>
      </w:tr>
      <w:tr>
        <w:trPr>
          <w:trHeight w:val="5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1.同屏显示温度、湿度、时钟</w:t>
              <w:br/>
              <w:t xml:space="preserve">2.温度测量范围:室内温度：-30℃~+50℃；室外温度：-50℃~+70℃</w:t>
              <w:br/>
              <w:t xml:space="preserve">3.湿度测量范围：20%RH~90%RH</w:t>
              <w:br/>
              <w:t xml:space="preserve">4.显示分辨率：温度：0.1℃；湿度：1%RH</w:t>
              <w:br/>
              <w:t xml:space="preserve">5.测量精度：温度：±1℃；湿度：±5%RH</w:t>
              <w:br/>
              <w:t xml:space="preserve">6.12/24小时时钟显示，可设定定时、闹钟功能</w:t>
              <w:br/>
              <w:t xml:space="preserve">7.最大、最小温湿度记忆功能</w:t>
            </w:r>
            <w:r>
              <w:rPr>
                <w:color w:val="000000" w:themeColor="text1"/>
              </w:rPr>
            </w:r>
          </w:p>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r>
            <w:r>
              <w:rPr>
                <w:color w:val="000000" w:themeColor="text1"/>
              </w:rP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t xml:space="preserve">1、仪器内外材质均采用304不锈钢；</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2、加热功率：1000W，功率无极可调；</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3、具有缺水断电功能；</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4、物料篮容积：5L。</w:t>
            </w:r>
            <w:r>
              <w:rPr>
                <w:b w:val="0"/>
                <w:bCs w:val="0"/>
                <w:color w:val="000000" w:themeColor="text1"/>
              </w:rPr>
            </w:r>
            <w:r>
              <w:rPr>
                <w:color w:val="000000" w:themeColor="text1"/>
              </w:rP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容积≥250L，三门冰箱。</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功率≥2000W，8</w:t>
            </w:r>
            <w:r>
              <w:rPr>
                <w:rFonts w:hint="eastAsia" w:ascii="宋体" w:hAnsi="宋体" w:cs="宋体"/>
                <w:b w:val="0"/>
                <w:bCs w:val="0"/>
                <w:color w:val="000000"/>
                <w:sz w:val="20"/>
                <w:szCs w:val="20"/>
                <w:highlight w:val="none"/>
                <w:lang w:val="en-US" w:eastAsia="zh-CN" w:bidi="ar"/>
              </w:rPr>
              <w:t xml:space="preserve">档</w:t>
            </w:r>
            <w:r>
              <w:rPr>
                <w:rFonts w:hint="eastAsia" w:ascii="宋体" w:hAnsi="宋体" w:cs="宋体"/>
                <w:b w:val="0"/>
                <w:bCs w:val="0"/>
                <w:color w:val="000000"/>
                <w:sz w:val="20"/>
                <w:szCs w:val="20"/>
                <w:highlight w:val="none"/>
                <w:lang w:bidi="ar"/>
              </w:rPr>
              <w:t xml:space="preserve">可调，配套锅。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生长良好,配套组培瓶。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植物的组织培养；果酒果醋制作试剂盒；腐乳的制作试剂盒；亚硝酸盐的测定试剂盒；微生物的实验培养试剂盒；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土壤中分解尿素的细菌的分离和计数试剂盒；分解纤维素的微生物的分离试剂盒；酵母细胞的固定化试剂盒；发光细菌培养试剂盒。</w:t>
            </w:r>
            <w:r>
              <w:rPr>
                <w:b w:val="0"/>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管理后台：（签订合同时提供2-11项软件功能截图证明文件）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1、具备自主的管理平台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2、支持管理后台主页显示常用的系统数据曲线和场所、模块、终端数量显示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3、支持用户自行创建管理场所，包括各种实验室、智慧农场等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4、支持用户管理自有模块信息，模块可以配置到不同的场所，实现实时数据关联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5、支持用户定义终端，通过对不同厂家设备的参数配置，实现真正意义上的自定义物联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6、支持用户自行定义终端快捷动作，用户通过对终端指令的批量设置，可以实现方便的对设备进行多动作连续执行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7、支持用户自行定义传感器设备，不指定厂家，只要协议兼容，都能方便接入传感器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8、支持用户执行器定义，用户可以通过后台定义不同厂家的执行器，方便接入控制设备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9、支持用户查看授权的资源信息，包括各种培训资料、教材、音视频文件、课件等分类的资料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10、支持给上传特聘专家为平台终端用户老师提供专门的专家提问场景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11、支持将所有的终端动作进行记录，为设备的采样、执行、状态获取等提供可追溯的数据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APP/小程序端：（签订合同时提供2-12项软件功能截图证明文件）</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1、具备自主的微信小程序、安卓APP、苹果H5APP等</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2、主页支持显示基本信息、场所、模块、终端、配件、资源、报修、专家互动、商城推荐、服务热线、案例展示等快捷通道</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3、基本信息页面支持显示单位信息、报修、计划任务、硬件配置等重要资料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4、支持展示用户自己的场所信息、模块信息</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5、支持展示用户自己的终端信息，终端信息列表呈现对应终端在在线状态</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6、支持用户读取传感器信息，不同终端进入后可以看到挂载的不同传感器，对传感器数据进行实时读取并显示，支持市面上各类传感器类型</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7、支持用户读取执行器状态，并控制执行器，实现不同的控制目的</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8、支持用户自定义任务计划，用户可以设置不同形式的任务计划，实现对终端的定时控制、定期循环控制等自执行操作</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10、支持用户查看平台推送的各种资源课件等资料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11、支持用户对特聘专家进行提问，并在专家回复后查看回复</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12、支持用户自助报修，通过平台报修界面实现对不同终端设备的在线自助报修</w:t>
            </w:r>
            <w:r>
              <w:rPr>
                <w:rFonts w:hint="eastAsia" w:ascii="宋体" w:hAnsi="宋体" w:cs="宋体"/>
                <w:b w:val="0"/>
                <w:bCs w:val="0"/>
                <w:color w:val="000000"/>
                <w:sz w:val="20"/>
                <w:szCs w:val="2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1.提供高中生物新课程实验培训一次、协助学校开展生物相关课题开设、课程开发以及中小学素拓课程手册20本；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2.提供《中小学素拓课程手册》精美胶装本，提供样品一本，课程不少于以下五方面内容：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2.1校园“微”世界：酸奶的制作、泡菜的制作、果酒的制作、腐乳的制作、寻找微生物-检测不同环境中的细菌和真菌、微生物的培养-酵母菌、发光细菌、食用菌；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2.2“香”约校园：植物芳香油的提取、精油小挂饰的制作、精油手工皂的制作、精油润唇膏的制作、精油护手霜的制作；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小小生态圈构建：夏天水果上的小飞虫-果蝇养殖、闪电镰刀手传奇-螳螂养殖、破茧成蝶-蝴蝶的养殖、励志哥成长记-蜗牛的养殖、虫生如戏，全靠演技-昆虫拟态、捕猎者-华西雨蛙的养殖、地下迷宫-蚁族的世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2.4细胞揭秘：观察草履虫对外界刺激的反应、制作切片并寻找动植物细胞、观察人的口腔上皮细胞、观察绿叶细胞中的叶绿体；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2.5小小生态园：“鱼”水“生”菜、幻彩水晶花瓶的制作、生命的力量-小小种子的萌发、无土栽培技术-水培、雾培、基质培、“离”不开、“酸”不住-各项参数测定、花儿为什么这样红-植物色素的提取与测定、探究光周期与光谱变化对植物生长的影响、水质的简易测定和不同水质对水生小动物的影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3.每个课程至少包含：课程简介、教学材料及用具、实验步骤、课时安排、实验思考、课程成果欣赏等；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4.高清图片形式的本节课程成果展示，课程手册为胶装的手册。</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≥600mm*600mm*600mm，304嵌入式中空玻璃传递窗（微电脑互锁）。</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50MM厚岩棉彩钢板，双面贴膜，企口白灰色，表面喷塑密封，净化防尘防菌处理；洁净室专用常规铝合金型材：国标件,地槽、厚角、角包、阴圆角；洁净室专用密封件及五金材料（铝铆钉、密封胶、螺丝等）。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净化密闭单开门（EPS夹心），800mmx2000mm含门框、门扇、执手锁，表面喷塑密封，净化防尘防菌处理。</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超薄型LED平板净化灯，长条形，48W；适用场所：电子厂，制药厂，食品厂，化工业，医疗企业，手术室等有无尘需求的场所。</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杀菌线紫外灯加延时警示灯，单独控制，独立线路，含安装。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无菌室采用高效送风过滤；包含洁净风管、风管保温板、高效风口GK-8、高效风口GK-12、新回风阻尼网板、高效送风过滤送风箱、压差表、风管调节阀等，含安装。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2.0mm厚度塑胶地板，耐磨、耐腐蚀，水，水泥自流平打底，专用胶粘接，焊接封口，铲平，不得有气泡，含安装。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地面以上部分，电器设备线路的连接，上下水设备的管道连接，含辅材及配件。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50MM厚硅岩彩钢板，双面贴膜，企口白灰色，表面喷塑密封，净化防尘防菌处理；洁净室专用常规铝合金型材：国标件,地槽、厚角、角包、阴圆角；洁净室专用密封件及五金材料（铝铆钉、密封胶、螺丝等）。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75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（2）系统后台管理；（3）实验教学资源（包含实验动画、视频等）的发布及教学应用管理；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（4）电子实验报告的制作、审核与派发管理，实验视频录播管理；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（8）实验成绩复核及争议消除机制；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（9）实验错误点的统计分析管理等。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20.5英寸及以上，分辨率1920x1080及以上。</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一、教室控制软件功能：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1、支持教师视频监看实验室内所有学生实验台的实况，</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2、支持教师对学生实验台智能云终端的远程管理与信息交互，支持屏幕互动教学。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3、支持教师登录云平台系统，利用平台自带的实验动画视频资源进行备课或发布自制的实验教学资源、自主设计学生实验以及在线安排和评价学生实验等教学活动。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4、配套系统：电子教室管理系统。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二、设备硬件配置：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1.内存：8GB及以上，可扩展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2.硬盘：500GB及以上SSD、机械硬盘：2T/7200RPM及以上。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3.网卡：1000M自适应网卡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4.显示器：21.5英寸及以上，分辨率1920x1080及以上。</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功能：将视觉采集终端输出的图像转换成图像数据流，输送给机器视觉处理器。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1.支持64路机器视觉采集终端接入，捕捉终端数据；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2.支持对机器视觉采集终端触发信号、曝光时间、快门速度参数进行控制；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3.支持H.265</w:t>
            </w:r>
            <w:r>
              <w:rPr>
                <w:rFonts w:hint="eastAsia" w:ascii="宋体" w:hAnsi="宋体" w:cs="宋体"/>
                <w:b w:val="0"/>
                <w:bCs w:val="0"/>
                <w:color w:val="000000"/>
                <w:sz w:val="20"/>
                <w:szCs w:val="20"/>
                <w:highlight w:val="none"/>
                <w:lang w:val="en-US" w:eastAsia="zh-CN" w:bidi="ar"/>
              </w:rPr>
              <w:t xml:space="preserve">和</w:t>
            </w:r>
            <w:r>
              <w:rPr>
                <w:rFonts w:hint="eastAsia" w:ascii="宋体" w:hAnsi="宋体" w:cs="宋体"/>
                <w:b w:val="0"/>
                <w:bCs w:val="0"/>
                <w:color w:val="000000"/>
                <w:sz w:val="20"/>
                <w:szCs w:val="20"/>
                <w:highlight w:val="none"/>
                <w:lang w:bidi="ar"/>
              </w:rPr>
              <w:t xml:space="preserve">H.264编码自适应接入；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4.支持2路HDMI和2路VGA同时输出，支持4K高清分辨率输出；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5.支持即时回放功能，支持最大16路；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6.双千兆网卡，支持双网络IP设定等应用。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控制仪表：220V交流输出；直流低压电源，交流低压电源具有过流、短路软保护；具有过流自恢复保护功能；另直流电源具有恒流源功能。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主控模块：（含鼠标键盘）</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（1）处理器：双核心，主频1.1G、动态加速频率2.6G及以上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（2）内存：4G及以上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（3）硬盘：32GB及以上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（4）显卡：®内置核心显卡（安装对应型号的驱动）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（5）网卡：10M/100M自适应网卡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（6）32bit及以上正版操作系统（及时系统补丁）</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（7）屏幕尺寸14英寸及以上，分辨率1366x768及以上</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功能：用于完成学生实验操作过程视频的采集。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1.视频处理：H.265AI/H.265+（兼容H.265/H.264）编码，双码流，AVI格式；码流0.1M~10Mpbs可调；帧率1~30帧/秒可调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2.图像输出：主码流：5MP2592*1944@15fps；4MP2560*1440@20fps；2MP1920*1080@25fps；子码流：704*576@25fps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3.快门：1/50（1/60）秒至1/10000秒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4.降噪：支持2D/3D降噪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5.宽动态：支持数字宽动态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6.音频处理：G.711A编解码标准,支持双向语音对讲功能,支持音视频同步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7.音频接口：1路输入,电平2Vp-p,阻抗1kΩ,支持拾音器输入;1路输出,阻抗16Ω,30mw输出功率,支持连接耳机或功放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8.网络接口：1*RJ45网络接口，10/100M自适应；支持RTSP/FTP/PPPOE/DHCP/DDNS/NTP/UPnP等网络协议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9.功能：支持WEB配置、OSD、移动侦测；移动侦测报警后中心提醒，画面弹出联动；支持MJPEG抓图；支持客户端远程监控软件、MYEYE平台等系统应用；提供完善的SDK开发包。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实验台内部所需的电源线、网线、水晶头等耗材。交换机，TP-LINK(5口)百兆；配线架；多媒体切换系统及线材等。</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（1）实验数据云存储：提供日常实验教学活动数据、实验操作考试及评分数据的存储管理。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（2）系统后台管理：管理内容涉及年度学期、实验课程设置、单位信息、实验室信息、教职工信息、学生信息、用户权限等。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实验教学资源：提供实验教学资源的管理，支持老师上传发布自制的word、excel、ppt、pdf等文档以及图片、视频、音频等实验相关教学资源，为教师自制实验教学资源提供自主上传、审核通过方可发布的相关管理，满足老师教学资源共享的需要和学生课外自主学习的需要；系统也提供了一些涉及教材上学生必做实验项目的教学动画视频资源作为教师实验教学的参考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提供了教师自主设计学生实验报告的模板，教师可以根据实验内容设计需要自主定义实验报告结构，包含实验目的、实验原理、实验仪器、实验内容、报告内容、评分项目、评分说明等。教师设计的实验报告需要通过学科组审核后方可在平台上发布、共享使用，以维护平台上共享实验报告的质量和科学性，同时促进集体备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实验视频录播管理：通过审核的实验项目，学科教师可用于安排学生实验活动，无纸化下发至实验终端供学生阅览、按实验内容要求完成实验活动、按报告内容要求提交实验报告（例如实验现象、实验数据、实验结论等），整个学生实验活动过程被全程视频记录在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（6）支持通过视频完成对学生实验操作过程评价：实验结束后，老师可基于学生实验时提交的实验报告内容以及实验过程记录的视频随时对学生的实验活动进行评阅评价。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错误点的统计分析管理：系统老师对学生实验活动评价时指出的错误点进行统计分析，方便老师知晓学生的共性错误在哪里，以便进行针对性实验教学；同时反馈学生实验评价信息，让学生知晓自己在实验过程中出现的错误，以便完成个性化纠错学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考试管理：涉及实验考题制作与审核、实验考试组卷与审核、实验考务安排与审核、实验考位抽签、实验考试评分以及实验考试成绩等相关管理，可提供实验考后追溯机制，根据考生信息查询考生的实验考试成绩、评分记录和实验考试时提交的实验报告内容、实验操作视频记录等客观证据，以此消除考生或考生家长对成绩的异议，确保考试评分过程公平公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（10）支持无缝升级为AI智能评分系统：支持当前系统在日后可根据实际需要无缝升级，升级后在保有之前功能的基础上，可实现AI智能评分，以进一步提升实验考试评分的客观性，为实验考试评分工作赋能。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服务功能：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支持同步各个实验室的视频数据、仪器数据以及考试数据，进行集中存储与管理，支持同步上传到区级管理平台。支持断点续传和数据完整性校验。具备数据加密传输保证数据安全。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多副本与强一致性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•支持多副本与强一致性，数据的不同副本保存在不同存储节点与机架中，支持磁盘/节点/机架级容错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•使用专用的Cache管理算法，新修改的数据会立即写入磁盘，从而避免由于断电等故障引起数据丢失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多层次数据修复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•在数据读写过程中，对每个副本进行检查，并及时修复损坏的副本。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•周期性对每个磁盘进行可靠性检查，如果发现磁盘损坏，则将该磁盘隔离，并启动数据修复。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•当磁盘损坏而进行数据重建时，该磁盘的数据会分散到存储池中的其它磁盘，以分布式方式进行数据修复，从而显著缩短修复时间，降低数据丢失风险。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•定期对全系统、指定的存储池（pool）或卷进行一致性检查，并进行修复。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•根据系统I/O负载，自动调整修复速率，既能在系统工作时避免对正常业务产生干扰，又能在系统空闲时以大速率修复数据，降低数据丢失风险。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多协议支持。</w:t>
            </w:r>
            <w:r>
              <w:rPr>
                <w:b w:val="0"/>
                <w:bCs w:val="0"/>
              </w:rPr>
            </w:r>
            <w:r/>
          </w:p>
        </w:tc>
      </w:tr>
      <w:tr>
        <w:trPr>
          <w:trHeight w:val="12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主要功能：用于校级实验教学及考核管理系统云平台软件部署以及保障云平台稳定运行的物质基础，为实验考试数据提供集中云存储服务，满足实验考试及其评价工作的需要。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处理器：6核及以上，主频3.5G及以上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内存：32G及以上，可扩展到64G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硬盘：3.5寸8T(raid5)及以上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显卡：内置核心显卡（安装对应型号的驱动）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为实验技能评价以及日常实验教学活动提供调度服务、视频文件储存以及播放管理服务等。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1.处理器：2颗10核及以上，主频2.3G及以上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2.内存：64G及以上，可扩展到128G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3.硬盘：3.5寸24T及以上（可根据各校实际情况进行调整）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7.显卡：独立显卡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8.应用软件：调度服务系统、视频服务系统、仪器服务系统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支持IPv4、IPv6路由协议；支持静态路由、RIPv1/v2、OSPFv2、BGP、IS-IS、路由策略、等价多路径、非平衡链路负载均衡；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支持IGMPv1/v2/v3、PIM-DM、PIM-SM、PIM-SSM、MSDP、MBGP、组播静态路由；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端口：固化5个千兆电口、1个千兆光口，均可工作在WAN模式下；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包转发率：≥200Kpps。</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器件配置：多功能实验支架1套、电火花计时器（交流电压：220V，频率0.02s）1套、有机直尺（1000mm，1mm）1把、钢卷尺</w:t>
            </w:r>
            <w:r>
              <w:rPr>
                <w:rFonts w:hint="eastAsia" w:ascii="宋体" w:hAnsi="宋体" w:cs="宋体"/>
                <w:b w:val="0"/>
                <w:bCs w:val="0"/>
                <w:color w:val="000000"/>
                <w:sz w:val="20"/>
                <w:szCs w:val="20"/>
                <w:highlight w:val="none"/>
                <w:lang w:bidi="ar"/>
              </w:rPr>
              <w:t xml:space="preserve">（5m，1mm）1盒、数显游标卡尺（0～15mm，0.01mm）1把、数显外径千分尺（0～25mm，0.001mm）1把、多用力学轨道系统（由力学轨道、小车及配件组成）1套、金属钩码（50g×10）1套、金属槽码（2g×3，5g×2，10g×2，20g×2，50g×2，100g×2，200g×2，5g×1金属槽码盘和10g×1金属槽码盘）1套、频闪光源（闪烁频率1Hz～1000Hz）1台、直角坐标书写板（印有方格，尺寸800mm×600mm，分格50mm×50mm）1个、直联泵（单相，2XZ-1型）1台、两</w:t>
            </w:r>
            <w:r>
              <w:rPr>
                <w:rFonts w:hint="eastAsia" w:ascii="宋体" w:hAnsi="宋体" w:cs="宋体"/>
                <w:b w:val="0"/>
                <w:bCs w:val="0"/>
                <w:color w:val="000000"/>
                <w:sz w:val="20"/>
                <w:szCs w:val="20"/>
                <w:highlight w:val="none"/>
                <w:lang w:bidi="ar"/>
              </w:rPr>
              <w:t xml:space="preserve">用气筒1个、打气筒1个、毛钱管1套、自由落体实验仪（包括主杆、支架座、电磁铁、光电门、钢球、钢球俘获装置、标尺等）1套、双锥体上滚演示器（含双椎体、圆柱体、支架等，支架导轨夹角可调）1套、薄板重心测定演示器1套、微小形变演示器（利用光杠杆原理）1套、螺旋弹簧组（由拉力极限分别为4.9N、2.94N、1.96N、0.98N和0.49N的5种弹簧构成）1组、摩擦力演示器（由摩擦板、摩擦块、摩擦材料、匀速电机等组成）1套、演示定滑轮（有磁性）1块、条形盒测力计（1N，0.02N）1个、条形盒测力计（2.5N，0.</w:t>
            </w:r>
            <w:r>
              <w:rPr>
                <w:rFonts w:hint="eastAsia" w:ascii="宋体" w:hAnsi="宋体" w:cs="宋体"/>
                <w:b w:val="0"/>
                <w:bCs w:val="0"/>
                <w:color w:val="000000"/>
                <w:sz w:val="20"/>
                <w:szCs w:val="20"/>
                <w:highlight w:val="none"/>
                <w:lang w:bidi="ar"/>
              </w:rPr>
              <w:t xml:space="preserve">05N）1个、条形盒测力计（5N，0.1N）1个、条形盒测力计（10N，0.2N）1个、圆筒测力计（1N，0.02N）1个、圆筒测力计（3N，0.1N）1个、圆筒测力计（10N，0.2N）1个、小型气源1台、力的合成分解实验器（由力桌，力桌支撑杆、细绳套、桌边滑轮、橡皮筋等组成）1套、斜面上力的分解演示器1套、量角器1个、三角板（等腰直角，内带量角器）1个、伽利略理想斜面演示器1套、牛顿第二定律演示仪1套、托盘天平（500g，0.5g）1台、电子天平（1000g，0.1g）1台、体重秤（160kg，0.5k</w:t>
            </w:r>
            <w:r>
              <w:rPr>
                <w:rFonts w:hint="eastAsia" w:ascii="宋体" w:hAnsi="宋体" w:cs="宋体"/>
                <w:b w:val="0"/>
                <w:bCs w:val="0"/>
                <w:color w:val="000000"/>
                <w:sz w:val="20"/>
                <w:szCs w:val="20"/>
                <w:highlight w:val="none"/>
                <w:lang w:bidi="ar"/>
              </w:rPr>
              <w:t xml:space="preserve">g）1台、滚摆1个、气垫导轨（长1200mm，含附件）1台、数字计时器（4位数字显示单元，内置定时器的启动和停止以及计数、周期、电磁铁吸合释放）1台、机械能守恒实验器（由底座、刻度板、挡光片、立柱、摆锤等组成）1台、曲线运动速度方向实验器（由可拼接的铝合金“S”形轨道、钢球、钢球释放装置等组成）1套、曲线运动条件实验器（由轨道,小钢球、磁铁、小球释放装置等组成）1台、蜡块运动实验仪（长度1000mm）1套、运动合成分解演示器（可做匀速-匀速、匀速-匀加速运动合成）1套、二维空间一时间描迹仪（同步计时打点描迹</w:t>
            </w:r>
            <w:r>
              <w:rPr>
                <w:rFonts w:hint="eastAsia" w:ascii="宋体" w:hAnsi="宋体" w:cs="宋体"/>
                <w:b w:val="0"/>
                <w:bCs w:val="0"/>
                <w:color w:val="000000"/>
                <w:sz w:val="20"/>
                <w:szCs w:val="20"/>
                <w:highlight w:val="none"/>
                <w:lang w:bidi="ar"/>
              </w:rPr>
              <w:t xml:space="preserve">）1套、平抛竖落仪1台、平抛运动实验器1套、向心力演示器1台、动量守恒小车1台、动量传递演示器（碰撞球，5球）1台、反冲运动演示器1套、弹簧振子（水平式）1套、简谐振动投影演示器1套、单摆运动规律演示器1套、受迫振动和共振演示器（5个摆长不同的单摆）1台、共振演示器1台、共振音叉（频率440Hz，由音叉、共鸣箱和音叉槌组成）1对、纵横波演示器1台、波动弹簧（扁钢丝弹簧）1个、纵波演示器1套、绳波演示器（横波、行波、驻波、模拟偏振）1套、声速测量仪1套、发波水槽1台、声波干涉演示仪1套、多普勒效应演示器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1.探究匀变速直线运动规律；2.探究加速度与物体受力、物体质量的关系；3.牛顿管实验；4.测量人的反应时间；5.用悬挂法测定薄板的重心；6.观察桌面的</w:t>
            </w:r>
            <w:r>
              <w:rPr>
                <w:rFonts w:hint="eastAsia" w:ascii="宋体" w:hAnsi="宋体" w:cs="宋体"/>
                <w:b w:val="0"/>
                <w:bCs w:val="0"/>
                <w:color w:val="000000"/>
                <w:sz w:val="20"/>
                <w:szCs w:val="20"/>
                <w:highlight w:val="none"/>
                <w:lang w:bidi="ar"/>
              </w:rPr>
              <w:t xml:space="preserve">微小形变；7.探究静摩擦力的大小随拉力的变化；8.测定动摩擦力因数；9.探究弹簧弹力与形变量的关系；10.探究两个互成角度的力的合成规律；11.用打点计时器验证机械能守恒定律；12.用气垫导轨验证动量守恒定律；13.伽利略斜面实验；14.超重和失重现象；15.做曲线运动物体的速度方向；16.做曲线运动的条件；17.观察钢球的运动轨迹；18.观察蜡块的运动；19.运动的合成与分解；20.探究平抛运动的特点；21.研究斜槽末端小球碰撞时的动量守恒；22.用单摆测定重力加速度；23.感受向心力与哪些因素有关；24</w:t>
            </w:r>
            <w:r>
              <w:rPr>
                <w:rFonts w:hint="eastAsia" w:ascii="宋体" w:hAnsi="宋体" w:cs="宋体"/>
                <w:b w:val="0"/>
                <w:bCs w:val="0"/>
                <w:color w:val="000000"/>
                <w:sz w:val="20"/>
                <w:szCs w:val="20"/>
                <w:highlight w:val="none"/>
                <w:lang w:bidi="ar"/>
              </w:rPr>
              <w:t xml:space="preserve">.探究向心力与半径、角速度、质量的关系；25.观察碰撞前后两球运动的变化；26.动量传递演示；27.演示反冲现象；28.用气垫导轨验证机械能守恒定律；29.观察弹簧振子的运动；30.描绘简谐运动的图像；31.测量小球振动的周期；32.观察两个小球的振动情况；33.影响单摆周期的因素；34.探究单摆周期与摆长的关系；35.研究受迫振动的频率；36.演示共振现象；37.观察波的产生和传播；38.水波的反射；39.水波的衍射；40.观察波的叠加现象；41.观察水波的干涉；42.声音的干涉；43.蜂鸣器音调的变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器件配置：玻棒(附丝绸)1对、胶棒(附毛皮)1对、箔片验电器1对、指针验电器1对、移电球（验电球）1个、验电器连接杆1个、正负电荷</w:t>
            </w:r>
            <w:r>
              <w:rPr>
                <w:rFonts w:hint="eastAsia" w:ascii="宋体" w:hAnsi="宋体" w:cs="宋体"/>
                <w:b w:val="0"/>
                <w:bCs w:val="0"/>
                <w:color w:val="000000"/>
                <w:sz w:val="20"/>
                <w:szCs w:val="20"/>
                <w:highlight w:val="none"/>
                <w:lang w:bidi="ar"/>
              </w:rPr>
              <w:t xml:space="preserve">检验器1个、范氏起电机1台、感应起电机1台、电子起电机1台、枕形导体1对、球形导体1套、尖形布电器1个、验电幡1个、电荷间作用力演示器1台、库仑扭秤模型1台、验电羽1对、电场线演示器1套、等势线描绘实验器1套、法拉第笼1套、避雷针演示器（由避雷针和接地导线组成）1套、静电实验箱（可演示静电除尘、避雷针原理、静电屏蔽、静电植绒、静电乒乓等实验）1套、静电计（用于测量静电电荷电量）1个、电子束演示器1台、电场中带电粒子运动模拟演示器（由模拟屏、加速旋钮、偏转旋钮等组成）1台、平行板电容器演示器1套、常用电容器示</w:t>
            </w:r>
            <w:r>
              <w:rPr>
                <w:rFonts w:hint="eastAsia" w:ascii="宋体" w:hAnsi="宋体" w:cs="宋体"/>
                <w:b w:val="0"/>
                <w:bCs w:val="0"/>
                <w:color w:val="000000"/>
                <w:sz w:val="20"/>
                <w:szCs w:val="20"/>
                <w:highlight w:val="none"/>
                <w:lang w:bidi="ar"/>
              </w:rPr>
              <w:t xml:space="preserve">教板（电解电容器、云母电容器、陶瓷电容器、独石电容器、薄膜电容器、贴片电容器、微调电容器、可变电容器等）1套、电容器实验板（由100μF、470μF、1000μF、2200μF、4700μF的电解电容器组成）1套、电容器的充、放电演示器1套、连接导线（500mm红色连接导线4根，500mm蓝色连接导线4根，250mm红色连接导线4根，250mm蓝色连接导线4根、1000mm红色连接导线2根，1000mm蓝色连接导线2根，鳄鱼夹6个）1套、常用电阻器示教板【定值电阻（碳膜电阻、金属膜电阻、绕线电阻、水泥电阻、</w:t>
            </w:r>
            <w:r>
              <w:rPr>
                <w:rFonts w:hint="eastAsia" w:ascii="宋体" w:hAnsi="宋体" w:cs="宋体"/>
                <w:b w:val="0"/>
                <w:bCs w:val="0"/>
                <w:color w:val="000000"/>
                <w:sz w:val="20"/>
                <w:szCs w:val="20"/>
                <w:highlight w:val="none"/>
                <w:lang w:bidi="ar"/>
              </w:rPr>
              <w:t xml:space="preserve">贴片式电阻等）、可变电阻（电位器、小型滑动变阻器）、特殊电阻（热敏电阻、光敏电阻、压敏电阻）等】1套、电阻实验板（由5Ω、10Ω、15Ω、30Ω、47Ω、100Ω、330Ω、1kΩ、10kΩ、47kΩ组成）1套、二极管实验板（由整流二极管、稳压二极管、发光二极管、检波二极管、变容二极管、开关二极管等组成）1套、演示可调内阻电池（气压调解式）1套、高中教学电源1台、演示电表（2.5级，直流电流：0.5A、2.5A，直流电压：2.5V、10V，检流：-100uA～100uA）1台、数字演示电表（4-1/2位，双</w:t>
            </w:r>
            <w:r>
              <w:rPr>
                <w:rFonts w:hint="eastAsia" w:ascii="宋体" w:hAnsi="宋体" w:cs="宋体"/>
                <w:b w:val="0"/>
                <w:bCs w:val="0"/>
                <w:color w:val="000000"/>
                <w:sz w:val="20"/>
                <w:szCs w:val="20"/>
                <w:highlight w:val="none"/>
                <w:lang w:bidi="ar"/>
              </w:rPr>
              <w:t xml:space="preserve">面显示）1台、多用电表（指针式，2.5级）1个、数字式多用电表（4-1/2位，电压、电流、电阻、电容、二极管、温度、频率测试）1个、钢卷尺（5m）1把、电阻定律演示器1台、金属导体电阻与温度关系演示器（由底座、面板、灯座、钨丝灯、开关等组成，输入电压DC3V）1套、电阻箱（六位，99999.9Ω，0.1级）1个、滑动变阻器（10Ω,2A）1个、滑动变阻器（20Ω,2A）1个、滑动变阻器（50Ω,1.5A）1个、电路综合演示实验箱（磁吸式，由开关、灯座、定值电阻、滑动变阻器、电流表、电压表、导线等组成）1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1.观察静电感应现象；2.模拟库仑定律实验；3.探究影响电荷间相互作用力的因素；4.模拟电场线的分布情况；5.利用法拉第笼演示静电屏蔽现象；6.观察带电</w:t>
            </w:r>
            <w:r>
              <w:rPr>
                <w:rFonts w:hint="eastAsia" w:ascii="宋体" w:hAnsi="宋体" w:cs="宋体"/>
                <w:b w:val="0"/>
                <w:bCs w:val="0"/>
                <w:color w:val="000000"/>
                <w:sz w:val="20"/>
                <w:szCs w:val="20"/>
                <w:highlight w:val="none"/>
                <w:lang w:bidi="ar"/>
              </w:rPr>
              <w:t xml:space="preserve">粒子在电场中的运动；7.观察电容器的充、放电现象；8.观察和认识常用电容器的形状和结构；9.探究影响平行板电容器电容大小的因素；10.识别电容器示教板上不同类型的电容器；11.观察并识别常见的电阻元件；12.长度的测量及其测量工具的选用；13.探究金属导体的电阻与材料、横截面积、长度的定量关系；14.观察金属导体电阻与温度的关系；15.测量金属丝的电阻率；16.学习使用多用电表；17.滑动变阻器的工作原理；18.串、并联电路电阻的特点；19.闭合电路欧姆定律；20.测量电源的电动势和内阻；21.电表的改装。</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司南模型1套、翼形磁针1对、条形磁铁（D-CG-LT-180）2对、蹄形磁铁（D-CG-LU-100）2对、充磁器1台、磁感线演示板（无色透明塑料外壳，油封铁粉式）1套、立体磁感线演示器（永磁）1个、奥斯特实验演示器1套、铁粉1盒、通电平行直导线相互作</w:t>
            </w:r>
            <w:r>
              <w:rPr>
                <w:rFonts w:hint="eastAsia" w:ascii="宋体" w:hAnsi="宋体" w:cs="宋体"/>
                <w:b w:val="0"/>
                <w:bCs w:val="0"/>
                <w:color w:val="000000"/>
                <w:sz w:val="20"/>
                <w:szCs w:val="20"/>
                <w:highlight w:val="none"/>
                <w:lang w:bidi="ar"/>
              </w:rPr>
              <w:t xml:space="preserve">用演示器1套、螺线管演示器（透明底板，纯铜漆包线，单层绕线，线圈绕向清晰可见）1组、电磁感应演示器1套、法拉第圆盘发电机模型（由匀强磁场、铜片、电刷、中心转轴、摇柄等组成）1个、电磁波的发送和接收演示器（由高频振荡器和接收器组成）1套、微电流放大器（放大倍数1000倍）1个、方形线圈1套、安培力演示器1套、洛伦兹力演示器（电解液式）1台、阴极射线管（磁偏转管）1个、模拟环形回旋加速器（由线圈，轨道，钢球组成）1台、环形磁铁（D-CG-YT-36）1个、演示原副线圈1套、楞次定律演示器1套、管内外落磁实验器（</w:t>
            </w:r>
            <w:r>
              <w:rPr>
                <w:rFonts w:hint="eastAsia" w:ascii="宋体" w:hAnsi="宋体" w:cs="宋体"/>
                <w:b w:val="0"/>
                <w:bCs w:val="0"/>
                <w:color w:val="000000"/>
                <w:sz w:val="20"/>
                <w:szCs w:val="20"/>
                <w:highlight w:val="none"/>
                <w:lang w:bidi="ar"/>
              </w:rPr>
              <w:t xml:space="preserve">由底座、透明亚克力管、铜管、铝管以及同尺寸的塑料柱、铷磁铁等组成）1套、电磁弹跳环演示器1套、法拉第电磁感应定律演示仪1套、自感现象演示器1台、电磁阻尼演示器1台、教学示波器（DCC~5MHz）1台、高频信号发生器（0.4MHz~130MHz分段连续可调）1台、交流电路特性演示器1台、可拆变压器1套、高压输变电模拟演示器1台、三相电机原理演示器1台、手摇交直流发电机1个、手摇三相交流发电机1台、单相交流发电机1台、单匝线圈电机原理演示器1台、电磁振荡演示仪1台、赫兹实验演示器1台、感应圈（电子开关式）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磁体对通电导线产生作用力；2.观察常见磁场的分布；3.判断通电直导线周围的磁场方向；4.判断通电线圈周围磁场的方向；5.平行通电直导线之间的相互作用；6.探究影响通电导线受力的因素；7.安培力的方向；8.观察电子束在磁场中的偏转；9.利用洛伦兹力演示器观察带电粒子的运动径迹；10.模拟环形回旋加速器；11.观察电磁感应现象；12.楞次定律演示实验；13.探究影响感应</w:t>
            </w:r>
            <w:r>
              <w:rPr>
                <w:rFonts w:hint="eastAsia" w:ascii="宋体" w:hAnsi="宋体" w:cs="宋体"/>
                <w:b w:val="0"/>
                <w:bCs w:val="0"/>
                <w:color w:val="000000"/>
                <w:sz w:val="20"/>
                <w:szCs w:val="20"/>
                <w:highlight w:val="none"/>
                <w:lang w:bidi="ar"/>
              </w:rPr>
              <w:t xml:space="preserve">电流方向的因素；14.法拉第电磁感应定律；15.观察电磁阻尼现象；16.观察电磁驱动（铝框的运动）；17.了解三相电动机；18.观察自感现象；19.观察两个灯泡的发光情况；20.观察开关断开时灯泡的亮度；21.观察交变电流的波形；22.观察交变电流的方向（交流发电机）；23.了解交流发电机的结构；24.认识变压器的结构、原理及功能；25.探究变压器线圈两端的电压与匝数的关系；26.电感对交变电流的影响；27.电容对交变电流的影响；28.模拟高压输电；29.观察振荡电路中电压的波形；30.电磁波的发射与接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阴极射线管（示直进管）1支、阴极射线管（机械效应管）1支、阴极射线管（静电偏转管）1支、光谱管组（6支直行光谱管）1套、棱镜分光镜1套、普朗克常量测定器（由光电管、光源、滤色片等组成）1台、感应圈（电子开关式）1台、光电效应演示器（由紫外线灯、锌板、铜网等组成）1套、光电效应演示器【由光电管及配套底座、滤光片（红、绿、蓝）组成、输入电压DC3V】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1.观察不同阴极射线管的外观、结构及工作情况；2.观察氢原子、钠原子、汞原子等原子光谱；3.观察光电效应。</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常用传感器元件示教板【含干簧管、热敏电阻（NTC、PTC）、压力、光敏电阻、霍尔元件、气敏元件等】1套、霍尔效应示教板（由毫安表、微安表、霍尔元件、电阻器、按钮开关、接线柱、面板、底座等组成，输入电压DC3V）1套、热敏电阻及应用演示板（由热敏电阻及应用电路组成，输入电压DC5V）1套、光敏电阻及应用演示板（由光敏电阻及其应用电路组成，输入电压DC5V）1套、逻辑电路实验板（与或非三种门电路，输入电压DC5V）1套、门窗防盗报警装置实验器1套、光控开关实验器示教板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1.认识常见传感器；2.了解霍尔效应；3.探究热敏电阻的电阻大小随温度的变化情况；4.探究光敏电阻的电阻大小随光强的变化情况；5.利用传感器制作门窗防盗报警装置；6.利用传感器制作光控开关电路。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光具座（导轨长1000mm,光具座带双面刻度）1套、光的传播、反射、折射实验器1套、梯形玻璃砖1块、测量玻璃的折射率实验配套材料【含白纸（8开）、图钉、大头针、木板（400mm×600mm）】1套、光导纤维应用演示器1台、光的干涉衍射偏振演示器（由光学轨道、光源、光屏、光栅、双缝、单缝、偏振片等组成）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1.光的折射定律；2.测量玻璃的折射率；3.光的全反射；4.观察光的干涉、衍射和偏振现象；5.光的双缝干涉；6.光的薄膜干涉；7.光的单缝衍射；8.光纤的应用；9.光的偏振。</w:t>
            </w:r>
            <w:r>
              <w:rPr>
                <w:b w:val="0"/>
                <w:bCs w:val="0"/>
              </w:rPr>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油膜实验器1套、智能生物显微镜（单目广视场目镜：10×/φ18；消色差物镜：4×、10×、40×；LED光源，亮度连续可调；双层移动式载物台；图像参数：200万，1080P/25fps）1台、分子间隔演示器（由带刻度透明盛液柱、油酸、5mL注射器、底座组成）1套、晶体和非晶体样品盒1套、晶体空间点阵模型（碳的同素异构体模型）1套、晶体和非晶体特性实验器【含电烙铁、尖嘴</w:t>
            </w:r>
            <w:r>
              <w:rPr>
                <w:rFonts w:hint="eastAsia" w:ascii="宋体" w:hAnsi="宋体" w:cs="宋体"/>
                <w:b w:val="0"/>
                <w:bCs w:val="0"/>
                <w:color w:val="000000"/>
                <w:sz w:val="20"/>
                <w:szCs w:val="20"/>
                <w:highlight w:val="none"/>
                <w:lang w:bidi="ar"/>
              </w:rPr>
              <w:t xml:space="preserve">钳、蜂蜡、电烙铁、缝纫机针、薄玻璃片（厚0.2mm）、白云母片（厚0.1mm）、针孔隔热板（100mm×100mm）】1套、伽尔顿板1套、内聚力演示器1套、液体表表面张力演示器（由圆形线框、凸环形线框、三角体线框、正方体线框、收缩线框、双环线框等组成）1套、浸润和不浸润现象演示器【包含两块玻璃板（一块为清洁的玻璃片、一块为涂有介质的玻璃片）、滴管】1套、毛细现象演示器1套、气压模拟演示器（由透明塑料气缸、活塞、钢球、振动器等组成）1件、玻意尔定律演示器（由带刻度气室、气压计、放气阀、底座等组成）1套、盖·吕</w:t>
            </w:r>
            <w:r>
              <w:rPr>
                <w:rFonts w:hint="eastAsia" w:ascii="宋体" w:hAnsi="宋体" w:cs="宋体"/>
                <w:b w:val="0"/>
                <w:bCs w:val="0"/>
                <w:color w:val="000000"/>
                <w:sz w:val="20"/>
                <w:szCs w:val="20"/>
                <w:highlight w:val="none"/>
                <w:lang w:bidi="ar"/>
              </w:rPr>
              <w:t xml:space="preserve">萨克定律演示器（由尺度板、玻璃管、橡皮塞、烧瓶、温度计、支脚等组成）1套、气体定律实验器（由压力表、固定架、体积标尺、气室等组成）1套、烧杯用电加热器（250W，功率可调，密封式）1台、教学用远红外加热器1台、酒精灯（150mL）1个、量杯（250mL）2个、量筒（100mL）2个、烧杯（250mL）2个、水银温度计（0～200℃，1℃，有保护套）2支、红液温度计（-20℃～100℃，1℃）2支、数字温度计（-30℃～200℃，0.1℃）1支、空气压缩引火仪1个、气体做功内能减少演示器1套、饮水鸭模型1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分子的扩散现象；2.用油膜法估测分子的大小；3.观察分子的布朗运动；4.验证分子之间存在空隙；5.探究分子运动速率分布规律；6.验证分子间存在引力；7.模拟气体压强产生的机理；8.探究气体等温变化的规律；9.探究气体的等压变化规律；10.探究气体的等容变化规律；11.观察肥皂膜和棉线的变化；12.浸润和不浸润现象；13.观察毛细现象；14.机械能与内能的转化；15.晶体与非晶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升降台（学生用，不锈钢)1个、止水夹（螺旋型）3个、陶土网（140mm×140mm）1块、支</w:t>
            </w:r>
            <w:r>
              <w:rPr>
                <w:rStyle w:val="1007"/>
                <w:b w:val="0"/>
                <w:bCs w:val="0"/>
                <w:color w:val="000000"/>
                <w:highlight w:val="none"/>
                <w:lang w:bidi="ar"/>
              </w:rPr>
              <w:t xml:space="preserve">座（可拼接）2对、支撑杆（2根/套，单根杆长300mm，杆与杆可以螺纹对接）2套、双嘴钳2个、万向夹2个、铁环（大号）1个、铁环（中号）1个、铁环(小号)1个、三脚架1个、酒精灯1个、燃烧匙(215mm)1个、坩埚钳(200mm)1把、烧杯夹(200mm)1个、电子点火器1把、泥三角1个、坩埚(30mL)1个、蒸发皿(100mm)1个、剪刀1把、美工刀1把、锈钢长刮板1个、激光笔(红光)1支、镊子(125mm)1把、药匙(红、黄、绿各3支)1套、研钵（60m,附研杵）1套、电子秒表(分辨力0.01s)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玻璃棒(200mm)2根、镍铬丝棒1根、钴玻璃片1片、胶头滴管(90mm)2支、胶头滴管(200mm)2支、试管(φ15mm×150mm)12支、试管(φ20mm×200mm)4支、试管(φ30mm×200mm)4支、离心试管(10mL)4支、石英试管(φ20mm×200mm)2支、Y形试管(φ18mm×150mm)2支、</w:t>
            </w:r>
            <w:r>
              <w:rPr>
                <w:rStyle w:val="1007"/>
                <w:b w:val="0"/>
                <w:bCs w:val="0"/>
                <w:color w:val="000000"/>
                <w:highlight w:val="none"/>
                <w:lang w:bidi="ar"/>
              </w:rPr>
              <w:t xml:space="preserve">U形管(φ20mm×200mm)1支、试管夹(180mm)1个、硅胶管(400mm)2根、玻璃导管(90°，85mm＋55mm)4支、玻璃导管(200mm)4支、玻璃导管(80mm)4支、橡胶塞(14/18/18mm，孔径7mm×1)2个、橡胶塞(16/21/25mm，孔径7mm×1)2个、橡胶塞(22/30/30mm，孔径7mm×1)2个、移液器(100μL～1000μL，配枪头)1套、数字温度计(笔式，－30℃～200℃)1支、温度计(－10℃～110℃)1支、烧杯(50mL)2个、烧杯(100mL)2</w:t>
            </w:r>
            <w:r>
              <w:rPr>
                <w:rStyle w:val="1007"/>
                <w:b w:val="0"/>
                <w:bCs w:val="0"/>
                <w:color w:val="000000"/>
                <w:highlight w:val="none"/>
                <w:lang w:bidi="ar"/>
              </w:rPr>
              <w:t xml:space="preserve">个、烧杯(250mL)2个、漏斗(φ60mm，短颈)1个、塑料洗瓶(250mL)1个、毛玻璃片(100mm×100mm，边缘打磨)1片、集气瓶(250mL)1个、锥形瓶(100mL)2个、结晶皿(φ125mm)1个、表面皿(φ60mm)2个、培养皿(φ90mm)1个、点滴板(陶瓷，6孔)1个、量筒(10mL)1个、量筒(25mL)1个、量筒(50mL)1个、量筒(100mL)1个、二氧化氮球1个、高中学生电源（交流：2V～16V/3A，每2V一档；直流稳压：2V～16V/2A，每2V一档。有过载保护）1台。</w:t>
            </w:r>
            <w:r>
              <w:rPr>
                <w:rStyle w:val="1007"/>
                <w:b w:val="0"/>
                <w:bCs w:val="0"/>
                <w:color w:val="000000"/>
                <w:highlight w:val="none"/>
                <w:lang w:bidi="ar"/>
              </w:rPr>
              <w:br w:type="textWrapping" w:clear="all"/>
            </w:r>
            <w:r>
              <w:rPr>
                <w:rStyle w:val="1008"/>
                <w:b w:val="0"/>
                <w:bCs w:val="0"/>
                <w:color w:val="000000"/>
                <w:highlight w:val="none"/>
                <w:lang w:bidi="ar"/>
              </w:rPr>
              <w:t xml:space="preserve">结合实验箱1及配套实验仪器，可完成的实验：</w:t>
            </w:r>
            <w:r>
              <w:rPr>
                <w:rStyle w:val="1007"/>
                <w:b w:val="0"/>
                <w:bCs w:val="0"/>
                <w:color w:val="000000"/>
                <w:highlight w:val="none"/>
                <w:lang w:bidi="ar"/>
              </w:rPr>
              <w:t xml:space="preserve">1.不同价态含硫物质的转化；2.化学反应速率的影响因素；3.铁及其化合物的性质；4.同周期、同主族元素性质的递变；5.用化学沉淀法去除粗盐中杂质离子；6.化学能转化成电能；7.探究影响化学平衡移动的因素；8.盐类水解的应用；9.简单的电镀实验；10.制作简单的燃料电池；11.简单配合物的形成；12.有机化合物中常见官能团的检验；13.糖类的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玻璃棒(200mm)2根、低压发热棒(12V)1支、胶头滴管(90mm)2支、试管(φ15mm×150mm)4支、试管(φ20mm×200mm)4支、磨口试管(磨口24/29，φ30mm×200mm)1支、小咀磨口接头(磨口24/29)2个、硬质玻璃管(双口型，磨口24/29，200mm)1支、Y形试管(φ18mm×150mm)1支、试管夹(木质，180mm)1个、硅胶管(400mm)2根、玻璃导管(90°，190mm＋60mm)4支、玻璃导管(90°，85mm＋55mm)4支</w:t>
            </w:r>
            <w:r>
              <w:rPr>
                <w:rStyle w:val="1009"/>
                <w:b w:val="0"/>
                <w:bCs w:val="0"/>
                <w:color w:val="000000"/>
                <w:highlight w:val="none"/>
                <w:lang w:bidi="ar"/>
              </w:rPr>
              <w:t xml:space="preserve">、玻璃导管(200mm)4支、玻璃导管(80mm)4支、橡胶塞(14/18/18mm，孔径7mm×1)2个、橡胶塞(16/21/25mm，孔径7mm×1)2个、鲁尔接头(二通)2个、鲁尔接头(三通)1个、量气管(25mL，下通)2支、移液管(1mL，刻度)1支、移液管(2mL，刻度)1支、移液管(5mL，刻度)1支、移液管(10mL，刻度)1支、移液管(20mL，刻度)1支、滴定管(25mL，酸式、碱式各一支)1套、双连球1个、洗耳球(60mL)2个、pH计(分度：0.1)1支、注射器(塑料，20mL，带针</w:t>
            </w:r>
            <w:r>
              <w:rPr>
                <w:rStyle w:val="1009"/>
                <w:b w:val="0"/>
                <w:bCs w:val="0"/>
                <w:color w:val="000000"/>
                <w:highlight w:val="none"/>
                <w:lang w:bidi="ar"/>
              </w:rPr>
              <w:t xml:space="preserve">头)2支、烧杯(50mL)2个、烧杯(100mL)2个、烧杯(250mL)2个、锥形瓶(100mL)2个、漏斗(φ60mm，短颈)1个、塑料洗瓶(250mL)1个、石英玻璃蒸发皿(φ90mm)1个、培养皿(φ90mm)1个、培养皿(φ120mm)1个、结晶皿(φ125mm)1个、层析缸(100mm×100mm)1个、毛细管(φ100μm)1筒、容量瓶(50mL)1个、容量瓶(100mL)1个、容量瓶(250mL)1个、量筒(10mL)1个、量筒(25mL)1个、量筒(50mL)1个、量筒(100mL)1个。</w:t>
            </w:r>
            <w:r>
              <w:rPr>
                <w:rStyle w:val="1009"/>
                <w:b w:val="0"/>
                <w:bCs w:val="0"/>
                <w:color w:val="000000"/>
                <w:highlight w:val="none"/>
                <w:lang w:bidi="ar"/>
              </w:rPr>
              <w:br w:type="textWrapping" w:clear="all"/>
            </w:r>
            <w:r>
              <w:rPr>
                <w:rStyle w:val="1010"/>
                <w:b w:val="0"/>
                <w:bCs w:val="0"/>
                <w:color w:val="000000"/>
                <w:highlight w:val="none"/>
                <w:lang w:bidi="ar"/>
              </w:rPr>
              <w:t xml:space="preserve">结合实验箱1及配套实验仪器，可完成的实验：</w:t>
            </w:r>
            <w:r>
              <w:rPr>
                <w:rStyle w:val="1009"/>
                <w:b w:val="0"/>
                <w:bCs w:val="0"/>
                <w:color w:val="000000"/>
                <w:highlight w:val="none"/>
                <w:lang w:bidi="ar"/>
              </w:rPr>
              <w:t xml:space="preserve">1.配制一定物质的量浓度的氯化钠溶液；2.强酸和强碱的中和滴定；3.乙醇、乙酸的主要性质；4.乙酸乙酯的制备和性质。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温度计(0～200℃)1支、玻璃塞(磨口19/26)1个、单双可控接头(四氟活塞，磨口24/29)1个、单通活塞接头(磨口19/26)1个、短颈磨口漏斗(磨口24/29)1个、球形漏</w:t>
            </w:r>
            <w:r>
              <w:rPr>
                <w:rStyle w:val="1009"/>
                <w:b w:val="0"/>
                <w:bCs w:val="0"/>
                <w:color w:val="000000"/>
                <w:highlight w:val="none"/>
                <w:lang w:bidi="ar"/>
              </w:rPr>
              <w:t xml:space="preserve">斗(磨口24/29)1个、启普发生器底座(85mm×160mm)1个、具支洗气瓶（100mL，带盖)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w:t>
            </w:r>
            <w:r>
              <w:rPr>
                <w:rStyle w:val="1009"/>
                <w:b w:val="0"/>
                <w:bCs w:val="0"/>
                <w:color w:val="000000"/>
                <w:highlight w:val="none"/>
                <w:lang w:bidi="ar"/>
              </w:rPr>
              <w:t xml:space="preserve">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Style w:val="1009"/>
                <w:b w:val="0"/>
                <w:bCs w:val="0"/>
                <w:color w:val="000000"/>
                <w:highlight w:val="none"/>
                <w:lang w:bidi="ar"/>
              </w:rPr>
              <w:br w:type="textWrapping" w:clear="all"/>
            </w:r>
            <w:r>
              <w:rPr>
                <w:rStyle w:val="1010"/>
                <w:b w:val="0"/>
                <w:bCs w:val="0"/>
                <w:color w:val="000000"/>
                <w:highlight w:val="none"/>
                <w:lang w:bidi="ar"/>
              </w:rPr>
              <w:t xml:space="preserve">本实验箱配置有实验室制取氧气和氢气的改进仪器，以培养学生创新和改进实验仪器的意识，结合实验箱1，可完成的实验：</w:t>
            </w:r>
            <w:r>
              <w:rPr>
                <w:rStyle w:val="1009"/>
                <w:b w:val="0"/>
                <w:bCs w:val="0"/>
                <w:color w:val="000000"/>
                <w:highlight w:val="none"/>
                <w:lang w:bidi="ar"/>
              </w:rPr>
              <w:t xml:space="preserve">1.氧气的实验室制取；2.氢气的实验室制取；3.氢气还原金属氧化物；4.一氧化碳的实验室制取；5.一氧化碳还原金属氧化物；6.二氧化碳的实验室制取；7.氯化氢的实验室制取；8.氯化氢的喷泉实验；9.氯气的实验室制取；10.氨气的实验室制取；11.氨气的喷泉实验；12.乙烯的实验室制取；13.乙炔的实验室制取。</w:t>
            </w:r>
            <w:r>
              <w:rPr>
                <w:b w:val="0"/>
                <w:bCs w:val="0"/>
              </w:rPr>
            </w:r>
            <w:r/>
          </w:p>
        </w:tc>
      </w:tr>
      <w:tr>
        <w:trPr>
          <w:trHeight w:val="75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温度计(0～200℃)3支、层析柱(磨口24/29，有效长度260mm)1个、圆底烧瓶(磨口24/29，短颈，250mL)1个、蒸馏头（带盖，磨口24/29，螺口14mm，110mm)1个、蛇形冷凝管</w:t>
            </w:r>
            <w:r>
              <w:rPr>
                <w:rStyle w:val="1007"/>
                <w:b w:val="0"/>
                <w:bCs w:val="0"/>
                <w:color w:val="000000"/>
                <w:highlight w:val="none"/>
                <w:lang w:bidi="ar"/>
              </w:rPr>
              <w:t xml:space="preserve">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Style w:val="1007"/>
                <w:b w:val="0"/>
                <w:bCs w:val="0"/>
                <w:color w:val="000000"/>
                <w:highlight w:val="none"/>
                <w:lang w:bidi="ar"/>
              </w:rPr>
              <w:br w:type="textWrapping" w:clear="all"/>
            </w:r>
            <w:r>
              <w:rPr>
                <w:rStyle w:val="1008"/>
                <w:b w:val="0"/>
                <w:bCs w:val="0"/>
                <w:color w:val="000000"/>
                <w:highlight w:val="none"/>
                <w:lang w:bidi="ar"/>
              </w:rPr>
              <w:t xml:space="preserve">本实验箱配置有净化水、分馏、萃取的改进仪器，以培养学生创新和改进实验仪器的意识，结合实验箱1，可完成的实验：</w:t>
            </w:r>
            <w:r>
              <w:rPr>
                <w:rStyle w:val="1007"/>
                <w:b w:val="0"/>
                <w:bCs w:val="0"/>
                <w:color w:val="000000"/>
                <w:highlight w:val="none"/>
                <w:lang w:bidi="ar"/>
              </w:rPr>
              <w:t xml:space="preserve">1.净化水；2.蒸馏（例如制取蒸馏水）；3.石油分馏；4.萃取（例如从碘水中提取碘）。</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9"/>
                <w:b w:val="0"/>
                <w:bCs w:val="0"/>
                <w:color w:val="000000"/>
                <w:highlight w:val="none"/>
                <w:lang w:bidi="ar"/>
              </w:rPr>
              <w:t xml:space="preserve">滴定管夹1个、漏斗架1个、移液器架1个、试管架1个、试管刷1把、烧杯刷1把、水槽1个、干燥器(φ240mm)1个、二口烧瓶(250mL)1个、三口烧瓶(250mL)1个、恒压滴液漏斗(桶形，60mL，磨口24#)1个、物质导电性实验配套仪器(包括：灵敏电流计1个、电池盒2个、1号干电池2节、连接导线10根、小灯泡1袋、小灯座1个、单刀开关1个、石墨电极2个)1套、托盘天平(100g，0.1g)1台、分子结构模型（学生用，球棍式)1套。</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本配套实验仪器与实验箱2～3配套使用。</w:t>
            </w:r>
            <w:r>
              <w:rPr>
                <w:b w:val="0"/>
                <w:bCs w:val="0"/>
              </w:rPr>
            </w:r>
            <w:r/>
          </w:p>
        </w:tc>
      </w:tr>
      <w:tr>
        <w:trPr>
          <w:trHeight w:val="9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10"/>
                <w:b w:val="0"/>
                <w:bCs w:val="0"/>
                <w:color w:val="000000"/>
                <w:highlight w:val="none"/>
                <w:lang w:bidi="ar"/>
              </w:rPr>
              <w:t xml:space="preserve">器件配置：</w:t>
            </w:r>
            <w:r>
              <w:rPr>
                <w:rStyle w:val="1009"/>
                <w:b w:val="0"/>
                <w:bCs w:val="0"/>
                <w:color w:val="000000"/>
                <w:highlight w:val="none"/>
                <w:lang w:bidi="ar"/>
              </w:rPr>
              <w:t xml:space="preserve">电子天平(200g，0.01g)1台、磁力加热搅拌器（附磁子)1台、封闭电炉(220V，800W～1000W，功率可调)1台、电吹风机(1000W)1台、手持式紫外线灯(365nm)1台。</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所列“数量”指每年级4个平行班的配备数量。</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支座（可拼接）1对、双嘴钳2个、支撑杆（250mm）1根、支撑杆(2根/套，单根杆长300mm，杆与杆可以螺纹对接)1套、铁圈(大、中、小)1套、万向夹2个、酒精灯(150 mL)1个、电子点火器1把、试管架1个、电</w:t>
            </w:r>
            <w:r>
              <w:rPr>
                <w:rStyle w:val="1007"/>
                <w:b w:val="0"/>
                <w:bCs w:val="0"/>
                <w:color w:val="000000"/>
                <w:highlight w:val="none"/>
                <w:lang w:bidi="ar"/>
              </w:rPr>
              <w:t xml:space="preserve">子天平(1000g,0.1g)1台、电子秒表（0.01s）1个、LED台灯（可调光）1台、打孔器（4件）1套、剪刀（140mm，直尖头）1把、解剖器（6件）1套、试管夹2个、止水夹2个、三脚架1个、陶土网（140mm×140mm）1张、移液器（包括：0.5μL～10μL，10μL～100μL，100μL～1000μL，1000μL～5000μL）1套、移液器吸头（包括：0.5μL～10μL，10μL～100μL，100μL～1000μL，1000μL～5000μL）1套、移液器架(可放4支微量移液器)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mL)1个、试管（φ15mm×150mm）6支、刻度试管（φ15mm×150mm）4个、烧杯（100mL）3个、烧杯（250mL）1个、锥形瓶（500mL）3个、玻璃漏斗（φ50mm）1个、培养皿（90mm）1个、表面皿（100mm）1个、胶头滴管（100mm）3支、玻璃棒（200mm）1根、直角玻璃导管（φ7mm，50mm+150mm）6支、毛细玻璃管（50支/盒）1盒、温度计（0～100℃）1 支、切片标本（包括生物组织标本22种，各1片。</w:t>
            </w:r>
            <w:r>
              <w:rPr>
                <w:rStyle w:val="1007"/>
                <w:b w:val="0"/>
                <w:bCs w:val="0"/>
                <w:color w:val="000000"/>
                <w:highlight w:val="none"/>
                <w:lang w:bidi="ar"/>
              </w:rPr>
              <w:t xml:space="preserve">具体配置要求应按附录A中表A.2的要求）1盒、镊子（140mm，带齿直尖头）1把、载玻片1盒、盖玻片1盒、双面刀片1盒、单面刀片1盒、直尺(300mm)1把、pH精密试纸(pH 6.4～8.1）1本、pH广泛试纸1本、洗耳球(60mL)1个、研钵(附研杵)1个、打孔器(给叶片打孔)1套、药匙(大、中、小)1套、比色板(6孔)1块、注射器(30mL)1个、毛笔1支、铅笔(HB)1支、记号笔1支、彩泥(12色)1盒、大头针1盒、卫生香1盒、消毒牙签1盒、吸水纸1盒、擦镜纸1盒、定性滤纸1盒、棉塞1包、纱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使用高倍显微镜观察几种细胞；2.检测生物组织中的还原糖、脂肪和蛋白质；3.用高倍显微镜观察叶绿体和细胞质流动；4.制作真核细胞的三维结构模型；5.探究植物细胞的吸水和失水；6.比较过氧化氢在不同条件下的分解；7.淀粉酶对淀粉和蔗糖的水解作用；8.探究影响酶活性的条件；9.探究酵母菌细胞呼吸的方式；10.绿叶中色素的提取和分离；11.探究环境因素对光合作用强度的影响；12.观察根尖分生区组织细胞的有丝分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试管(φ15mm×150mm)2支、烧杯(250mL)2个、烧杯(500mL)2个、载玻片1盒、盖玻片1盒、培养皿(90mm)1个、接种环1个、直尺(300mm)1把、镊子(140mm，带齿直尖头)1把、小桶2个、DNA双螺旋结构模型组件(组件配置：脱氧核糖20，腺嘌呤5，胸腺嘧啶5，胞嘧啶5，鸟嘌呤5，磷酸22，粗棒22，细棒40)1套、铅笔1支、彩笔5支、记号笔1支、彩泥(12色)1袋、彩球(2色，各20个)1套、胶水1瓶、透明胶带1卷、滤纸1盒、吸水纸1盒、涂布器1个、纱布1卷。</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1.性状分离比的模拟实验；2.观察蝗虫精母细胞减数分裂装片；3.建立减数分裂中染色体变化的模型；4.制作DNA分子双螺旋结构模型；5.低温诱导植物细胞染色体数目的变化；6.探究抗生素对细菌的选择作用。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(50mL)2个、试管（φ12mm×70mm）6支、烧杯（50mL）3个、烧杯（250mL）3个、烧杯（500mL）1个、锥形瓶（250mL）2个、玻璃棒（200mm）3根、胶头滴管（200mm）2支、玻璃管2支、白瓷盘（140mm×250mm）1个、pH计（笔式，分辨力0.1）1个、血细胞计数板4个、镊子（140mm，带齿直尖头）1把、软尺（1500 mm）1把、吸虫器（储虫瓶40mm×100mm，带有打孔橡胶塞、吸虫管、吸气管）1套、放大镜1个、记号笔2支、滤纸1盒、纱布10块。</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1.模拟生物体维持pH的稳定；2.探索植物生长调节剂的应用；3.调查草地中某种双子叶植物的种群密度；4.培养液中酵母菌种群数量的变化；5.探究土壤中动物类群的丰富度；6.探究土壤微生物的分解作用。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量筒（100mL）1个、试管（φ12mm×70mm）6支、</w:t>
            </w:r>
            <w:r>
              <w:rPr>
                <w:rStyle w:val="1007"/>
                <w:b w:val="0"/>
                <w:bCs w:val="0"/>
                <w:color w:val="000000"/>
                <w:highlight w:val="none"/>
                <w:lang w:bidi="ar"/>
              </w:rPr>
              <w:t xml:space="preserve">试管（φ15mm×150mm）6支、烧杯（250mL）1个、烧杯（500mL）1个、锥形瓶（50mL）4个、锥形瓶（250mL）2个、培养皿（90mm）2个、玻璃漏斗（90mm）1 个、玻璃棒（200mm）1根、研钵（附研杵）1套、研磨过滤器（20mL）1个、计数器（手持式）1个、血细胞计数板1个、镊子（140mm，带齿直尖头）1把、小刀（白瓷刀）1把、单面刀片1盒、接种环1个、比色管6个、封口膜（10cm×38m）1卷、橡皮筋1包、纱布1卷、棉塞1包、牛皮纸1包、滤纸1盒、标签纸1本、消毒用酒精棉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1.制作传统发酵食品；2.酵母菌的纯培养；3.土壤中分解尿素的细菌的分离与计数；4.菊花的组织培养；5.DNA的粗提取与鉴定；6.DNA片段的扩增及电泳鉴定。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7"/>
                <w:b w:val="0"/>
                <w:bCs w:val="0"/>
                <w:color w:val="000000"/>
                <w:highlight w:val="none"/>
                <w:lang w:bidi="ar"/>
              </w:rPr>
              <w:t xml:space="preserve">智能生物显微镜（单目广视场目镜：10×/φ18；消色差物镜：4×、10×、40×；LED光源，亮度连续可调；双层移动式载物台；图像参数：200万，1080P/25fps；显示：2.8英寸，可显示状态和操作错误；具备教学模式和考核模式双功能，支持物镜选择操作规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 </w:t>
            </w:r>
            <w:r>
              <w:rPr>
                <w:b w:val="0"/>
                <w:bCs w:val="0"/>
              </w:rPr>
            </w:r>
            <w:r/>
          </w:p>
        </w:tc>
      </w:tr>
    </w:tbl>
    <w:p>
      <w:pPr>
        <w:pStyle w:val="881"/>
        <w:spacing w:line="264" w:lineRule="auto"/>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rPr>
          <w:rFonts w:hint="eastAsia" w:ascii="宋体" w:hAnsi="宋体" w:eastAsia="宋体" w:cs="宋体"/>
          <w:color w:val="000000"/>
          <w:sz w:val="24"/>
          <w:szCs w:val="24"/>
          <w:highlight w:val="none"/>
        </w:rPr>
      </w:r>
      <w:r/>
    </w:p>
    <w:p>
      <w:pPr>
        <w:pStyle w:val="893"/>
        <w:ind w:firstLine="480"/>
        <w:rPr>
          <w:rFonts w:hint="eastAsia"/>
          <w:color w:val="000000"/>
          <w:highlight w:val="none"/>
        </w:rPr>
      </w:pPr>
      <w:r>
        <w:rPr>
          <w:rFonts w:hint="eastAsia" w:cs="宋体"/>
          <w:color w:val="000000"/>
          <w:sz w:val="24"/>
          <w:szCs w:val="24"/>
          <w:highlight w:val="none"/>
          <w:lang w:val="en-US" w:eastAsia="zh-CN"/>
        </w:rPr>
        <w:t xml:space="preserve">本项目要求安装调试实施团队不少于4人，其中项目团队负责人1人。</w:t>
      </w:r>
      <w:r>
        <w:rPr>
          <w:rFonts w:hint="eastAsia"/>
          <w:color w:val="000000"/>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质保（维保）及售后要求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①本项目质保期三年，费用包在投标总价中（自验收报告签字确认日起，开始进入质保期）；</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②本项目所投产品使用软件授权终身使用及升级，费用包含在投标总价中。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③供应商接到报修请求，2小时内响应，8小时内维修人员到达现场，质保期内故障报修24小时内无法及时修复的须提供备机。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④供应商在质保期内每学期结束前为学校进行整体维护一次，费用包含在投标总价中；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lang w:val="zh-CN"/>
        </w:rPr>
        <w:t xml:space="preserve">质保期后，供应商提供终</w:t>
      </w:r>
      <w:r>
        <w:rPr>
          <w:rFonts w:hint="eastAsia" w:ascii="宋体" w:hAnsi="宋体" w:cs="宋体"/>
          <w:color w:val="000000"/>
          <w:sz w:val="24"/>
          <w:szCs w:val="24"/>
          <w:highlight w:val="none"/>
        </w:rPr>
        <w:t xml:space="preserve">身</w:t>
      </w:r>
      <w:r>
        <w:rPr>
          <w:rFonts w:hint="eastAsia" w:ascii="宋体" w:hAnsi="宋体" w:cs="宋体"/>
          <w:color w:val="000000"/>
          <w:sz w:val="24"/>
          <w:szCs w:val="24"/>
          <w:highlight w:val="none"/>
          <w:lang w:val="zh-CN"/>
        </w:rPr>
        <w:t xml:space="preserve">服务，保证零配件的供给。</w:t>
      </w:r>
      <w:r>
        <w:rPr>
          <w:rFonts w:hint="eastAsia" w:ascii="宋体" w:hAnsi="宋体" w:cs="宋体"/>
          <w:color w:val="000000"/>
          <w:sz w:val="24"/>
          <w:szCs w:val="24"/>
          <w:highlight w:val="none"/>
          <w:lang w:val="zh-CN"/>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③验收的相关数据及中标产品信息，供应商应及时填入网络管理平台。</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（4）技术培训要求：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③供应商须提供培训讲义，培训学校管理人员不少于2人。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（5）平台监管要求：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⑤供应商须通过“南京市教育装备项目管理平台”提供售后维护维保服务。</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rPr>
      </w:r>
      <w:r/>
    </w:p>
    <w:p>
      <w:pPr>
        <w:pStyle w:val="88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color w:val="000000"/>
          <w:highlight w:val="none"/>
        </w:rPr>
      </w:r>
      <w:r/>
    </w:p>
    <w:p>
      <w:pPr>
        <w:pStyle w:val="881"/>
        <w:ind w:firstLine="480"/>
        <w:spacing w:line="264" w:lineRule="auto"/>
        <w:rPr>
          <w:rFonts w:hint="eastAsia" w:ascii="宋体" w:hAnsi="宋体" w:cs="宋体"/>
          <w:bCs/>
          <w:color w:val="000000"/>
          <w:sz w:val="24"/>
          <w:szCs w:val="24"/>
          <w:highlight w:val="none"/>
        </w:rPr>
      </w:pPr>
      <w:r/>
      <w:bookmarkStart w:id="195"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bookmarkEnd w:id="195"/>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1.供应商提供以下样品各一件（制作标准和要求与本次采购项目一致）：</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（1）供应商提供所投“</w:t>
      </w:r>
      <w:r>
        <w:rPr>
          <w:rFonts w:hint="eastAsia" w:ascii="宋体" w:hAnsi="宋体" w:eastAsia="宋体" w:cs="宋体"/>
          <w:color w:val="000000"/>
          <w:sz w:val="24"/>
          <w:szCs w:val="24"/>
          <w:highlight w:val="none"/>
          <w:lang w:eastAsia="zh-CN"/>
        </w:rPr>
        <w:t xml:space="preserve">高中物理</w:t>
      </w:r>
      <w:r>
        <w:rPr>
          <w:rFonts w:hint="eastAsia" w:ascii="宋体" w:hAnsi="宋体" w:eastAsia="宋体" w:cs="宋体"/>
          <w:color w:val="000000"/>
          <w:sz w:val="24"/>
          <w:szCs w:val="24"/>
          <w:highlight w:val="none"/>
          <w:lang w:bidi="ar"/>
        </w:rPr>
        <w:t xml:space="preserve">近代物理演示仪器</w:t>
      </w:r>
      <w:r>
        <w:rPr>
          <w:rFonts w:hint="eastAsia" w:ascii="宋体" w:hAnsi="宋体" w:cs="宋体"/>
          <w:color w:val="000000"/>
          <w:sz w:val="24"/>
          <w:szCs w:val="24"/>
          <w:highlight w:val="none"/>
        </w:rPr>
        <w:t xml:space="preserve">”（“序号1</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（2）“智能生物显微镜”（“序号128”）</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2.样品提交地点：南京市江东中路265号南京市公共资源交易中心北门（牡丹江街）。</w:t>
      </w:r>
      <w:r>
        <w:rPr>
          <w:rFonts w:hint="eastAsia" w:ascii="宋体" w:hAnsi="宋体" w:cs="宋体"/>
          <w:color w:val="000000"/>
          <w:sz w:val="24"/>
          <w:szCs w:val="24"/>
          <w:highlight w:val="none"/>
          <w:lang w:val="zh-CN"/>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（3）样品尺寸正负偏离不超过</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视频</w:t>
      </w:r>
      <w:r>
        <w:rPr>
          <w:rFonts w:hint="eastAsia" w:ascii="宋体" w:hAnsi="宋体" w:cs="宋体"/>
          <w:color w:val="000000"/>
          <w:sz w:val="24"/>
          <w:szCs w:val="24"/>
          <w:highlight w:val="none"/>
        </w:rPr>
        <w:t xml:space="preserve">演示要求</w:t>
      </w:r>
      <w:r>
        <w:rPr>
          <w:rFonts w:hint="eastAsia" w:ascii="宋体" w:hAnsi="宋体" w:cs="宋体"/>
          <w:color w:val="000000"/>
          <w:sz w:val="24"/>
          <w:szCs w:val="24"/>
          <w:highlight w:val="none"/>
        </w:rPr>
      </w:r>
      <w:r/>
    </w:p>
    <w:p>
      <w:pPr>
        <w:pStyle w:val="88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）。文件上传方式见《操作手册》，上传的演示视频将作为投标文件的组成部分。视频时长总计不超过15分钟。</w:t>
      </w:r>
      <w:r>
        <w:rPr>
          <w:rFonts w:hint="eastAsia" w:ascii="宋体" w:hAnsi="宋体" w:cs="宋体"/>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2.演示内容详见“第五章  评标方法与评标标准”。</w:t>
      </w:r>
      <w:r>
        <w:rPr>
          <w:rFonts w:hint="eastAsia" w:ascii="宋体" w:hAnsi="宋体"/>
          <w:color w:val="000000"/>
          <w:sz w:val="24"/>
          <w:szCs w:val="24"/>
          <w:highlight w:val="none"/>
        </w:rPr>
      </w:r>
      <w:r/>
    </w:p>
    <w:p>
      <w:pPr>
        <w:pStyle w:val="959"/>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196" w:name="_Toc120614281"/>
      <w:r>
        <w:rPr>
          <w:rFonts w:hint="eastAsia" w:ascii="方正小标宋简体" w:hAnsi="方正小标宋简体" w:eastAsia="方正小标宋简体" w:cs="方正小标宋简体"/>
          <w:color w:val="000000"/>
          <w:sz w:val="36"/>
          <w:szCs w:val="36"/>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附件1：图纸</w:t>
      </w:r>
      <w:r>
        <w:rPr>
          <w:rFonts w:hint="eastAsia" w:ascii="宋体" w:hAnsi="宋体" w:cs="宋体"/>
          <w:b/>
          <w:bCs/>
          <w:color w:val="000000"/>
          <w:sz w:val="24"/>
          <w:szCs w:val="24"/>
          <w:highlight w:val="none"/>
          <w:lang w:bidi="ar"/>
        </w:rPr>
      </w:r>
      <w:r/>
    </w:p>
    <w:p>
      <w:pPr>
        <w:pStyle w:val="881"/>
        <w:ind w:firstLine="482"/>
        <w:spacing w:line="264"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详见采购公告附件。</w:t>
      </w:r>
      <w:r>
        <w:rPr>
          <w:rFonts w:ascii="宋体" w:hAnsi="宋体" w:eastAsia="宋体" w:cs="宋体"/>
          <w:b/>
          <w:bCs/>
          <w:color w:val="000000"/>
          <w:sz w:val="24"/>
          <w:szCs w:val="24"/>
          <w:highlight w:val="none"/>
          <w:lang w:val="en-US" w:eastAsia="zh-CN"/>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附件2：各实验室配置清单</w:t>
      </w:r>
      <w:r>
        <w:rPr>
          <w:rFonts w:hint="eastAsia" w:ascii="宋体" w:hAnsi="宋体" w:cs="宋体"/>
          <w:b/>
          <w:bCs/>
          <w:color w:val="000000"/>
          <w:sz w:val="24"/>
          <w:szCs w:val="24"/>
          <w:highlight w:val="none"/>
          <w:lang w:bidi="ar"/>
        </w:rPr>
      </w:r>
      <w:r/>
    </w:p>
    <w:tbl>
      <w:tblPr>
        <w:tblW w:w="0" w:type="auto"/>
        <w:tblInd w:w="90" w:type="dxa"/>
        <w:tblLayout w:type="fixed"/>
        <w:tblCellMar>
          <w:left w:w="108" w:type="dxa"/>
          <w:top w:w="0" w:type="dxa"/>
          <w:right w:w="108" w:type="dxa"/>
          <w:bottom w:w="0" w:type="dxa"/>
        </w:tblCellMar>
        <w:tblLook w:val="04A0" w:firstRow="1" w:lastRow="0" w:firstColumn="1" w:lastColumn="0" w:noHBand="0" w:noVBand="1"/>
      </w:tblPr>
      <w:tblGrid>
        <w:gridCol w:w="881"/>
        <w:gridCol w:w="5541"/>
        <w:gridCol w:w="1404"/>
        <w:gridCol w:w="1743"/>
      </w:tblGrid>
      <w:tr>
        <w:trPr>
          <w:trHeight w:val="23"/>
        </w:trPr>
        <w:tc>
          <w:tcPr>
            <w:gridSpan w:val="4"/>
            <w:tcBorders>
              <w:top w:val="none" w:color="000000" w:sz="4" w:space="0"/>
              <w:left w:val="none" w:color="000000" w:sz="4" w:space="0"/>
              <w:bottom w:val="single" w:color="000000" w:sz="4" w:space="0"/>
              <w:right w:val="none" w:color="000000" w:sz="4" w:space="0"/>
            </w:tcBorders>
            <w:tcW w:w="9569"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8"/>
                <w:szCs w:val="28"/>
                <w:highlight w:val="none"/>
                <w:lang w:bidi="ar"/>
              </w:rPr>
              <w:t xml:space="preserve">南京市第29中学新校区实验室基础设备配置清单</w:t>
            </w:r>
            <w:r>
              <w:rPr>
                <w:rFonts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名称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单位</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实验楼三层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生物综合实验室设备配置【2间】</w:t>
            </w:r>
            <w:r>
              <w:rPr>
                <w:rFonts w:ascii="宋体" w:hAnsi="宋体" w:eastAsia="宋体" w:cs="宋体"/>
                <w:color w:val="000000"/>
                <w:sz w:val="20"/>
                <w:szCs w:val="20"/>
                <w:highlight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112</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生物数码显微实验室设备配置【1间】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生物技术实验室设备配置【1间】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实验台（边台）</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生物仪器准备室设备配置【1间】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生物准备药品室设备配置【1间】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易燃品存柜、防爆柜（报警装置）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生物组培微生物实验室设备配置【1间】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把</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扇</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rPr>
                <w:color w:val="000000"/>
                <w:highlight w:val="none"/>
              </w:rPr>
            </w:pPr>
            <w:r>
              <w:rPr>
                <w:color w:val="000000"/>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生物实验员办公室设备配置【1间】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实验楼五层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数字化实验室/物理竞赛与大学先修教室设备配置【1间】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物理研习室设备配置【1间】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Cs w:val="21"/>
                <w:highlight w:val="none"/>
                <w:lang w:bidi="ar"/>
              </w:rPr>
              <w:t xml:space="preserve">实验室水槽柜</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生化智慧云实验室建设方案【1间】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1380" cy="84391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1380" cy="8439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1380" cy="84391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1380" cy="843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1380" cy="8439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Cs w:val="21"/>
                <w:highlight w:val="none"/>
                <w:lang w:bidi="ar"/>
              </w:rPr>
              <w:t xml:space="preserve">吊装系统</w:t>
            </w:r>
            <w:r>
              <w:rPr>
                <w:rFonts w:hint="eastAsia" w:ascii="宋体" w:hAnsi="宋体" w:cs="宋体"/>
                <w:color w:val="000000"/>
                <w:sz w:val="20"/>
                <w:szCs w:val="20"/>
                <w:highlight w:val="none"/>
                <w:lang w:bidi="ar"/>
              </w:rPr>
              <w:t xml:space="preserve">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生物模型标本室设备配置【1间】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bl>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color w:val="000000"/>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highlight w:val="none"/>
        </w:rPr>
        <w:t xml:space="preserve">2.技术项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highlight w:val="none"/>
        </w:rPr>
      </w:r>
      <w:r/>
    </w:p>
    <w:p>
      <w:pPr>
        <w:pStyle w:val="881"/>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ascii="黑体" w:hAnsi="黑体" w:eastAsia="黑体" w:cs="黑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hint="eastAsia" w:ascii="黑体" w:hAnsi="黑体" w:eastAsia="黑体" w:cs="黑体"/>
          <w:color w:val="000000"/>
          <w:sz w:val="24"/>
          <w:szCs w:val="24"/>
          <w:highlight w:val="none"/>
        </w:rPr>
        <w:t xml:space="preserve">三、评标标准</w:t>
      </w:r>
      <w:r>
        <w:rPr>
          <w:rFonts w:hint="eastAsia"/>
          <w:color w:val="000000"/>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881"/>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W w:w="519"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575" w:type="dxa"/>
            <w:vAlign w:val="top"/>
            <w:textDirection w:val="lrTb"/>
            <w:noWrap w:val="false"/>
          </w:tcPr>
          <w:p>
            <w:pPr>
              <w:pStyle w:val="881"/>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color w:val="000000"/>
                <w:spacing w:val="1"/>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深化设计方案</w:t>
            </w:r>
            <w:r>
              <w:rPr>
                <w:rFonts w:ascii="宋体" w:hAnsi="宋体" w:cs="宋体"/>
                <w:color w:val="000000"/>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评委根据投标人提供的深化设计方案综合评分：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提供针对采购需求的整体规划设计布置图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包含采购需求内的生物综合实验室、生物数码显微实验室、生物技术实验室、生物组培微生物实验室、物理数字化实验室/物理竞赛与大学先修实验室、物理智慧实验室、生物和化学化智慧实验室及辅房等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；根据江苏省高级中学理科实验室装备标准要求，同时针对采购需求与平面规划的匹配度、合理性，进行综合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上述内容不完整、不科学得0.5分；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未提供的不得分。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提供针对采购需求的整体规划设计施工图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，根据采购需求对图纸的合理性与规范性进行综合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不提供不符合不得分。</w:t>
            </w:r>
            <w:r>
              <w:rPr>
                <w:rFonts w:hint="eastAsia" w:ascii="宋体" w:hAnsi="宋体" w:cs="宋体"/>
                <w:color w:val="000000"/>
                <w:szCs w:val="21"/>
                <w:highlight w:val="none"/>
                <w:lang w:bidi="ar"/>
              </w:rPr>
            </w:r>
            <w:r/>
          </w:p>
          <w:p>
            <w:pPr>
              <w:pStyle w:val="881"/>
              <w:numPr>
                <w:ilvl w:val="0"/>
                <w:numId w:val="10"/>
              </w:numPr>
              <w:jc w:val="left"/>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提供针对采购需求的主要空间与实际场地平面尺寸匹配的深化效果图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，效果图中实验室桌椅、设备摆放要与之提供的布置图相匹配且能体现数字化和创新实验室特性。</w:t>
            </w:r>
            <w:r>
              <w:rPr>
                <w:rFonts w:hint="eastAsia" w:ascii="宋体" w:hAnsi="宋体" w:cs="宋体"/>
                <w:color w:val="000000"/>
                <w:szCs w:val="21"/>
                <w:highlight w:val="none"/>
                <w:lang w:bidi="ar"/>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rPr>
            </w:r>
            <w:r/>
          </w:p>
          <w:p>
            <w:pPr>
              <w:pStyle w:val="881"/>
              <w:rPr>
                <w:rFonts w:hint="eastAsia"/>
                <w:color w:val="000000"/>
                <w:highlight w:val="none"/>
              </w:rPr>
            </w:pPr>
            <w:r>
              <w:rPr>
                <w:rFonts w:hint="eastAsia" w:ascii="宋体" w:hAnsi="宋体" w:cs="宋体"/>
                <w:color w:val="000000"/>
                <w:szCs w:val="21"/>
                <w:highlight w:val="none"/>
                <w:lang w:bidi="ar"/>
              </w:rPr>
              <w:t xml:space="preserve">不提供不符合不得分。</w:t>
            </w:r>
            <w:r>
              <w:rPr>
                <w:rFonts w:hint="eastAsia"/>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highlight w:val="none"/>
              </w:rPr>
              <w:t xml:space="preserve">原材料检测报告</w:t>
            </w:r>
            <w:r>
              <w:rPr>
                <w:rFonts w:hint="eastAsia" w:ascii="宋体" w:hAnsi="宋体" w:cs="宋体"/>
                <w:color w:val="000000"/>
                <w:szCs w:val="21"/>
                <w:highlight w:val="none"/>
              </w:rPr>
            </w:r>
            <w:r/>
          </w:p>
        </w:tc>
        <w:tc>
          <w:tcPr>
            <w:tcW w:w="6330" w:type="dxa"/>
            <w:vAlign w:val="center"/>
            <w:textDirection w:val="lrTb"/>
            <w:noWrap w:val="false"/>
          </w:tcPr>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1.投标人提供原材料（陶瓷台面）以下各项指标满足要求的具有CMA标识的检测报告，全部满足得2分：</w:t>
            </w:r>
            <w:r>
              <w:rPr>
                <w:rFonts w:hint="eastAsia" w:ascii="宋体" w:hAnsi="宋体" w:cs="宋体"/>
                <w:color w:val="000000"/>
                <w:szCs w:val="21"/>
                <w:highlight w:val="none"/>
              </w:rPr>
            </w:r>
            <w:r/>
          </w:p>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①依据 GB/T3810.11-2016《陶瓷砖试验方法 第11部分:有釉砖抗釉裂性的测定》检测方法且指标满足:抗釉裂性(无釉裂)检测结果符合要求。</w:t>
            </w:r>
            <w:r>
              <w:rPr>
                <w:rFonts w:hint="eastAsia" w:ascii="宋体" w:hAnsi="宋体" w:cs="宋体"/>
                <w:color w:val="000000"/>
                <w:szCs w:val="21"/>
                <w:highlight w:val="none"/>
              </w:rPr>
            </w:r>
            <w:r/>
          </w:p>
          <w:p>
            <w:pPr>
              <w:pStyle w:val="881"/>
              <w:jc w:val="lef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②依据 GB/T3810.7-2016《陶瓷砖试验方法 第7部分:有釉砖表面耐磨性的测定》检测方法且指标满足:有釉耐磨不低于4级(2100 转)。</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③、依据 GB/T9966.1-2020《天然石材试验方法 第1部分:干燥、水饱和、冻融循环后压缩强度试验》检测方法且指标满足:压缩强度不低于 280MPa。</w:t>
            </w:r>
            <w:r>
              <w:rPr>
                <w:rFonts w:hint="eastAsia" w:ascii="宋体" w:hAnsi="宋体" w:cs="宋体"/>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 MERGEFORMAT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依据 GB/T3810.4-2016《陶瓷砖试验方法 第4部分:断裂模数和破坏强度的测定》检测方法日指标满足:破坏强度不低于 13000N:断裂模数平均值不低于 51MPa、单个值&gt;32MPa的检测结果符合要求。</w:t>
            </w:r>
            <w:r>
              <w:rPr>
                <w:rFonts w:hint="eastAsia" w:ascii="宋体" w:hAnsi="宋体" w:cs="宋体"/>
                <w:color w:val="000000"/>
                <w:szCs w:val="21"/>
                <w:highlight w:val="none"/>
              </w:rPr>
            </w:r>
            <w:r/>
          </w:p>
          <w:p>
            <w:pPr>
              <w:pStyle w:val="881"/>
              <w:rPr>
                <w:rFonts w:hint="eastAsia"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5 \* GB3 \* MERGEFORMAT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b/>
                <w:bCs/>
                <w:color w:val="000000"/>
                <w:szCs w:val="21"/>
                <w:highlight w:val="none"/>
              </w:rPr>
              <w:fldChar w:fldCharType="end"/>
            </w:r>
            <w:r>
              <w:rPr>
                <w:rFonts w:hint="eastAsia" w:ascii="宋体" w:hAnsi="宋体" w:cs="宋体"/>
                <w:color w:val="000000"/>
                <w:szCs w:val="21"/>
                <w:highlight w:val="none"/>
              </w:rPr>
              <w:t xml:space="preserve">依据 GB/T3810.5-2016《陶瓷砖试验方法 第5部分:用恢复系数确定砖的抗冲击性》检测方法且满足:抗冲击性不低于0.55 的检测结果符合要求。</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highlight w:val="none"/>
              </w:rPr>
            </w:pPr>
            <w:r>
              <w:rPr>
                <w:rFonts w:hint="eastAsia" w:ascii="宋体" w:hAnsi="宋体" w:cs="宋体"/>
                <w:color w:val="000000"/>
                <w:szCs w:val="21"/>
                <w:highlight w:val="none"/>
              </w:rPr>
              <w:t xml:space="preserve">成品检测报告</w:t>
            </w:r>
            <w:r>
              <w:rPr>
                <w:rFonts w:hint="eastAsia" w:ascii="宋体" w:hAnsi="宋体" w:cs="宋体"/>
                <w:color w:val="000000"/>
                <w:highlight w:val="none"/>
              </w:rPr>
            </w:r>
            <w:r/>
          </w:p>
        </w:tc>
        <w:tc>
          <w:tcPr>
            <w:tcW w:w="6330" w:type="dxa"/>
            <w:vAlign w:val="center"/>
            <w:textDirection w:val="lrTb"/>
            <w:noWrap w:val="false"/>
          </w:tcPr>
          <w:p>
            <w:pPr>
              <w:pStyle w:val="881"/>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投标人提供自2023年1月1日（以报告签发日期为准）以来，具有CMA标识的以下产品合格的检测报告：</w:t>
            </w:r>
            <w:r>
              <w:rPr>
                <w:b w:val="0"/>
                <w:bCs w:val="0"/>
              </w:rPr>
            </w:r>
            <w:r/>
          </w:p>
          <w:p>
            <w:pPr>
              <w:pStyle w:val="959"/>
              <w:ind w:left="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w:t>
            </w:r>
            <w:r>
              <w:rPr>
                <w:rFonts w:hint="eastAsia" w:ascii="宋体" w:hAnsi="宋体" w:eastAsia="宋体"/>
                <w:b w:val="0"/>
                <w:bCs w:val="0"/>
                <w:color w:val="000000"/>
                <w:sz w:val="21"/>
                <w:szCs w:val="21"/>
                <w:highlight w:val="none"/>
                <w:lang w:val="en-US"/>
              </w:rPr>
              <w:t xml:space="preserve">教师演示台、</w:t>
            </w:r>
            <w:r>
              <w:rPr>
                <w:rFonts w:hint="eastAsia" w:ascii="宋体" w:hAnsi="宋体" w:eastAsia="宋体"/>
                <w:b w:val="0"/>
                <w:bCs w:val="0"/>
                <w:color w:val="000000"/>
                <w:sz w:val="21"/>
                <w:szCs w:val="21"/>
                <w:highlight w:val="none"/>
                <w:lang w:val="en-US" w:bidi="ar"/>
              </w:rPr>
              <w:t xml:space="preserve">准备台（中央台、边台）</w:t>
            </w:r>
            <w:r>
              <w:rPr>
                <w:rFonts w:hint="eastAsia" w:ascii="宋体" w:hAnsi="宋体" w:eastAsia="宋体"/>
                <w:b w:val="0"/>
                <w:bCs w:val="0"/>
                <w:color w:val="000000"/>
                <w:sz w:val="21"/>
                <w:szCs w:val="21"/>
                <w:highlight w:val="none"/>
                <w:lang w:val="en-US"/>
              </w:rPr>
              <w:t xml:space="preserve">；依据为《GB/T 3325-2024金属家具通用技术条件》</w:t>
            </w:r>
            <w:r>
              <w:rPr>
                <w:rFonts w:hint="eastAsia" w:ascii="宋体" w:hAnsi="宋体" w:eastAsia="宋体"/>
                <w:b w:val="0"/>
                <w:bCs w:val="0"/>
                <w:color w:val="000000"/>
                <w:sz w:val="21"/>
                <w:szCs w:val="21"/>
                <w:highlight w:val="none"/>
                <w:lang w:val="en-US"/>
              </w:rPr>
              <w:t xml:space="preserve">，</w:t>
            </w:r>
            <w:r>
              <w:rPr>
                <w:rFonts w:hint="eastAsia" w:ascii="宋体" w:hAnsi="宋体" w:eastAsia="宋体"/>
                <w:b w:val="0"/>
                <w:bCs w:val="0"/>
                <w:color w:val="000000"/>
                <w:sz w:val="21"/>
                <w:szCs w:val="21"/>
                <w:highlight w:val="none"/>
                <w:lang w:val="en-US"/>
              </w:rPr>
              <w:t xml:space="preserve">全部提供得1分，缺项漏项不得分。</w:t>
            </w:r>
            <w:r>
              <w:rPr>
                <w:b w:val="0"/>
                <w:bCs w:val="0"/>
              </w:rPr>
            </w:r>
            <w:r/>
          </w:p>
          <w:p>
            <w:pPr>
              <w:pStyle w:val="959"/>
              <w:ind w:left="0"/>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rPr>
              <w:t xml:space="preserve">2、</w:t>
            </w:r>
            <w:r>
              <w:rPr>
                <w:rFonts w:hint="eastAsia" w:ascii="宋体" w:hAnsi="宋体" w:eastAsia="宋体"/>
                <w:b w:val="0"/>
                <w:bCs w:val="0"/>
                <w:color w:val="000000"/>
                <w:sz w:val="21"/>
                <w:szCs w:val="21"/>
                <w:highlight w:val="none"/>
                <w:lang w:val="en-US"/>
              </w:rPr>
              <w:t xml:space="preserve">仪器：提供1项得0.5分，满分1分。</w:t>
            </w:r>
            <w:r>
              <w:rPr>
                <w:b w:val="0"/>
                <w:bCs w:val="0"/>
              </w:rPr>
            </w:r>
            <w:r/>
          </w:p>
          <w:p>
            <w:pPr>
              <w:pStyle w:val="959"/>
              <w:ind w:left="0"/>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val="en-US" w:bidi="ar"/>
              </w:rPr>
              <w:t xml:space="preserve">①</w:t>
            </w:r>
            <w:r>
              <w:rPr>
                <w:rFonts w:hint="eastAsia" w:ascii="宋体" w:hAnsi="宋体" w:eastAsia="宋体"/>
                <w:b w:val="0"/>
                <w:bCs w:val="0"/>
                <w:color w:val="000000"/>
                <w:sz w:val="21"/>
                <w:szCs w:val="21"/>
                <w:highlight w:val="none"/>
                <w:lang w:val="en-US"/>
              </w:rPr>
              <w:t xml:space="preserve">高中物理教师教学演示全套实验仪器：（包</w:t>
            </w:r>
            <w:r>
              <w:rPr>
                <w:rFonts w:hint="eastAsia" w:ascii="宋体" w:hAnsi="宋体" w:eastAsia="宋体"/>
                <w:color w:val="000000"/>
                <w:sz w:val="21"/>
                <w:szCs w:val="21"/>
                <w:highlight w:val="none"/>
                <w:lang w:val="en-US"/>
              </w:rPr>
              <w:t xml:space="preserve">含：高中物理力学、高中物理电学、高中物理电磁学、高中物理近代物理、高中物理传感器、高中物理光学演示、高中物理热学等演示仪器检测项目）。</w:t>
            </w:r>
            <w:r>
              <w:rPr>
                <w:rFonts w:hint="eastAsia" w:ascii="宋体" w:hAnsi="宋体" w:eastAsia="宋体"/>
                <w:color w:val="000000"/>
                <w:sz w:val="21"/>
                <w:szCs w:val="21"/>
                <w:highlight w:val="none"/>
              </w:rPr>
            </w:r>
            <w:r/>
          </w:p>
          <w:p>
            <w:pPr>
              <w:pStyle w:val="959"/>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②高中生物学生实验多元组合仪器箱：（包含：高中生物组合（分子与细胞）、高中生物组合（遗传与进化）、高中生物组合（稳态与调节、生物与环境）、高中生物组合（生物技术与工程）等演示仪器检测项目）。</w:t>
            </w:r>
            <w:r>
              <w:rPr>
                <w:rFonts w:hint="eastAsia" w:ascii="宋体" w:hAnsi="宋体" w:eastAsia="宋体"/>
                <w:color w:val="000000"/>
                <w:sz w:val="21"/>
                <w:szCs w:val="21"/>
                <w:highlight w:val="none"/>
                <w:lang w:val="en-US"/>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样品</w:t>
            </w:r>
            <w:r>
              <w:rPr>
                <w:rFonts w:ascii="宋体" w:hAnsi="宋体" w:cs="宋体"/>
                <w:color w:val="000000"/>
                <w:szCs w:val="21"/>
                <w:highlight w:val="none"/>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评委根据投标人</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的样品（“</w:t>
            </w:r>
            <w:r>
              <w:rPr>
                <w:rFonts w:hint="eastAsia" w:ascii="宋体" w:hAnsi="宋体" w:cs="宋体"/>
                <w:color w:val="000000"/>
                <w:highlight w:val="none"/>
                <w:lang w:eastAsia="zh-CN"/>
              </w:rPr>
              <w:t xml:space="preserve">高中物理</w:t>
            </w:r>
            <w:r>
              <w:rPr>
                <w:rFonts w:hint="eastAsia" w:ascii="宋体" w:hAnsi="宋体" w:cs="宋体"/>
                <w:color w:val="000000"/>
                <w:highlight w:val="none"/>
                <w:lang w:bidi="ar"/>
              </w:rPr>
              <w:t xml:space="preserve">近代物理演示仪器</w:t>
            </w:r>
            <w:r>
              <w:rPr>
                <w:rFonts w:hint="eastAsia" w:ascii="宋体" w:hAnsi="宋体" w:cs="宋体"/>
                <w:color w:val="000000"/>
                <w:highlight w:val="none"/>
              </w:rPr>
              <w:t xml:space="preserve">”（“序号1</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“智能生物显微镜”（“序号1</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各</w:t>
            </w: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件）</w:t>
            </w:r>
            <w:r>
              <w:rPr>
                <w:rFonts w:hint="eastAsia" w:ascii="宋体" w:hAnsi="宋体" w:cs="宋体"/>
                <w:color w:val="000000"/>
                <w:highlight w:val="none"/>
              </w:rPr>
              <w:t xml:space="preserve">综合评分：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t xml:space="preserve">样品符合参数要求，工</w:t>
            </w:r>
            <w:r>
              <w:rPr>
                <w:rFonts w:hint="eastAsia" w:ascii="宋体" w:hAnsi="宋体" w:cs="宋体"/>
                <w:color w:val="000000"/>
                <w:highlight w:val="none"/>
                <w:lang w:eastAsia="zh-CN"/>
              </w:rPr>
              <w:t xml:space="preserve">艺精</w:t>
            </w:r>
            <w:r>
              <w:rPr>
                <w:rFonts w:hint="eastAsia" w:ascii="宋体" w:hAnsi="宋体" w:cs="宋体"/>
                <w:color w:val="000000"/>
                <w:highlight w:val="none"/>
                <w:lang w:eastAsia="zh-CN"/>
              </w:rPr>
              <w:t xml:space="preserve">细、外观平整，无色差、无异味；满足教学实验所需功能，操作便捷，实用性强，</w:t>
            </w:r>
            <w:r>
              <w:rPr>
                <w:rFonts w:hint="eastAsia" w:ascii="宋体" w:hAnsi="宋体" w:cs="宋体"/>
                <w:color w:val="000000"/>
                <w:highlight w:val="none"/>
              </w:rPr>
              <w:t xml:space="preserve">得5分</w:t>
            </w:r>
            <w:r>
              <w:rPr>
                <w:rFonts w:hint="eastAsia" w:ascii="宋体" w:hAnsi="宋体" w:cs="宋体"/>
                <w:color w:val="000000"/>
                <w:highlight w:val="none"/>
                <w:lang w:eastAsia="zh-CN"/>
              </w:rPr>
              <w:t xml:space="preserve">；</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样品符合基本参数要求，外观稍平整，有轻微色差、有轻微异味；基本上能满足教学实验所需的功能，得</w:t>
            </w:r>
            <w:r>
              <w:rPr>
                <w:rFonts w:hint="eastAsia" w:ascii="宋体" w:hAnsi="宋体" w:cs="宋体"/>
                <w:color w:val="000000"/>
                <w:highlight w:val="none"/>
                <w:lang w:val="en-US" w:eastAsia="zh-CN"/>
              </w:rPr>
              <w:t xml:space="preserve">2.5分；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样品基本符合参数要求，色差严重，外观有毛刺，味道刺鼻，不满足教学实验的功能，</w:t>
            </w:r>
            <w:r>
              <w:rPr>
                <w:rFonts w:hint="eastAsia" w:ascii="宋体" w:hAnsi="宋体" w:cs="宋体"/>
                <w:color w:val="000000"/>
                <w:highlight w:val="none"/>
              </w:rPr>
              <w:t xml:space="preserve">得1分；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r>
            <w:r>
              <w:rPr>
                <w:rFonts w:hint="eastAsia" w:ascii="宋体" w:hAnsi="宋体" w:cs="宋体"/>
                <w:color w:val="000000"/>
                <w:highlight w:val="none"/>
                <w:lang w:val="zh-CN"/>
              </w:rPr>
              <w:t xml:space="preserve">投标人提供的样品不全或</w:t>
            </w:r>
            <w:r>
              <w:rPr>
                <w:rFonts w:hint="eastAsia" w:ascii="宋体" w:hAnsi="宋体" w:cs="宋体"/>
                <w:color w:val="000000"/>
                <w:highlight w:val="none"/>
              </w:rPr>
              <w:t xml:space="preserve">不符合</w:t>
            </w:r>
            <w:r>
              <w:rPr>
                <w:rFonts w:hint="eastAsia" w:ascii="宋体" w:hAnsi="宋体" w:cs="宋体"/>
                <w:color w:val="000000"/>
                <w:highlight w:val="none"/>
                <w:lang w:val="zh-CN"/>
              </w:rPr>
              <w:t xml:space="preserve">本项目评审要求</w:t>
            </w:r>
            <w:r>
              <w:rPr>
                <w:rFonts w:hint="eastAsia" w:ascii="宋体" w:hAnsi="宋体" w:cs="宋体"/>
                <w:color w:val="000000"/>
                <w:highlight w:val="none"/>
                <w:lang w:val="zh-CN"/>
              </w:rPr>
              <w:t xml:space="preserve">的不得分；未在截止时间前及规定地点提交样品的不得分</w:t>
            </w:r>
            <w:r>
              <w:rPr>
                <w:rFonts w:hint="eastAsia" w:ascii="宋体" w:hAnsi="宋体" w:cs="宋体"/>
                <w:color w:val="000000"/>
                <w:highlight w:val="none"/>
                <w:lang w:val="zh-CN" w:bidi="zh-CN"/>
              </w:rPr>
              <w:t xml:space="preserve">。</w:t>
            </w:r>
            <w:r>
              <w:rPr>
                <w:rFonts w:hint="eastAsia" w:ascii="宋体" w:hAnsi="宋体" w:cs="宋体"/>
                <w:color w:val="000000"/>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6</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视频演示</w:t>
            </w:r>
            <w:r>
              <w:rPr>
                <w:rFonts w:hint="eastAsia" w:ascii="宋体" w:hAnsi="宋体" w:cs="宋体"/>
                <w:color w:val="000000"/>
                <w:spacing w:val="-2"/>
                <w:szCs w:val="21"/>
                <w:highlight w:val="none"/>
              </w:rPr>
            </w:r>
            <w:r/>
          </w:p>
        </w:tc>
        <w:tc>
          <w:tcPr>
            <w:tcW w:w="6330" w:type="dxa"/>
            <w:vAlign w:val="center"/>
            <w:textDirection w:val="lrTb"/>
            <w:noWrap w:val="false"/>
          </w:tcPr>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评委根据投标人提供的以下产品视频演示情况综合评分（每位投标人视频时长总计不超过15分钟）。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演示一、以“高中电学测绘小灯泡伏安特性曲线”实验为例；演示实验教学管理系统平台软件功能。成功演示全部内容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演示要求：</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①实验数据云存储；</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②系统后台管理；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③实验教学资源（包含实验动画、视频等）的发布及教学应用管理；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④电子实验报告的制作、审核与派发管理；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⑤学生实验报告提交管理；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支持通过视频完成对学生实验操作过程评价；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rPr>
              <w:t xml:space="preserve">支持真实测量数据实时显示，完成对学生数据结论的评价；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软件平台中的视频记录能够清晰反映实验仪器测量数据，读数结果不受器材空间位置的影响，无需对摄像头角度、位置进行调整。演示实例要求可以通过视频实时查看该实验中电压表、电流表的实时读数，方便老师进行评价参考。</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rPr>
              <w:t xml:space="preserve">实验成绩复核及争议消除机制；</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9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⑨</w:t>
            </w:r>
            <w:r>
              <w:rPr>
                <w:rFonts w:hint="eastAsia" w:ascii="宋体" w:hAnsi="宋体" w:cs="宋体"/>
                <w:color w:val="000000"/>
                <w:highlight w:val="none"/>
              </w:rPr>
              <w:fldChar w:fldCharType="end"/>
            </w:r>
            <w:r>
              <w:rPr>
                <w:rFonts w:hint="eastAsia" w:ascii="宋体" w:hAnsi="宋体" w:cs="宋体"/>
                <w:color w:val="000000"/>
                <w:highlight w:val="none"/>
              </w:rPr>
              <w:t xml:space="preserve">实验错误点的统计分析管理等。</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10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⑩</w:t>
            </w:r>
            <w:r>
              <w:rPr>
                <w:rFonts w:hint="eastAsia" w:ascii="宋体" w:hAnsi="宋体" w:cs="宋体"/>
                <w:color w:val="000000"/>
                <w:highlight w:val="none"/>
              </w:rPr>
              <w:fldChar w:fldCharType="end"/>
            </w:r>
            <w:r>
              <w:rPr>
                <w:rFonts w:hint="eastAsia" w:ascii="宋体" w:hAnsi="宋体" w:cs="宋体"/>
                <w:color w:val="000000"/>
                <w:highlight w:val="none"/>
              </w:rPr>
              <w:t xml:space="preserve">支持无缝升级为AI智能评分系统。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演示二、</w:t>
            </w:r>
            <w:r>
              <w:rPr>
                <w:rFonts w:hint="eastAsia" w:ascii="宋体" w:hAnsi="宋体" w:cs="宋体"/>
                <w:color w:val="000000"/>
                <w:highlight w:val="none"/>
                <w:lang w:bidi="ar"/>
              </w:rPr>
              <w:t xml:space="preserve">实验名称：探究加速度与力、质量的关系</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实物视频演示里面的仪器样式、外观、性能须与采购清单中“高中物理力学演示仪器”技术参数一致。</w:t>
            </w:r>
            <w:r>
              <w:rPr>
                <w:rFonts w:hint="eastAsia" w:ascii="宋体" w:hAnsi="宋体" w:cs="宋体"/>
                <w:color w:val="000000"/>
                <w:highlight w:val="none"/>
              </w:rPr>
              <w:t xml:space="preserve">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演示要求：</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①</w:t>
            </w:r>
            <w:r>
              <w:rPr>
                <w:rFonts w:hint="eastAsia" w:ascii="宋体" w:hAnsi="宋体" w:cs="宋体"/>
                <w:color w:val="000000"/>
                <w:highlight w:val="none"/>
                <w:lang w:bidi="ar"/>
              </w:rPr>
              <w:t xml:space="preserve">搭建力学轨道（特点：1.轨道采用铝合金一体成型，轨道面采用双凹滑行槽设计，使小车车轮与轨道接触面减少，降低摩擦力，有效减少系统误差 2.轨道配套附件丰富，自带双色读数刻度尺，可方便读取小车的位移，配套有可移动式防撞夹及小车释放器，让实验操作更加方便安全）。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②</w:t>
            </w:r>
            <w:r>
              <w:rPr>
                <w:rFonts w:hint="eastAsia" w:ascii="宋体" w:hAnsi="宋体" w:cs="宋体"/>
                <w:color w:val="000000"/>
                <w:highlight w:val="none"/>
                <w:lang w:bidi="ar"/>
              </w:rPr>
              <w:t xml:space="preserve">将实验小车放置在力学轨道上（特点：实验小车车轮采用内嵌轴承设计，有效降低自身摩擦力，确保了车轮的转动顺畅）。</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③</w:t>
            </w:r>
            <w:r>
              <w:rPr>
                <w:rFonts w:hint="eastAsia" w:ascii="宋体" w:hAnsi="宋体" w:cs="宋体"/>
                <w:color w:val="000000"/>
                <w:highlight w:val="none"/>
                <w:lang w:bidi="ar"/>
              </w:rPr>
              <w:t xml:space="preserve">小车端部固定上纸带夹，打点计时器固定在轨道端部仪器托盘上，纸带夹上固定上一条纸带，纸带穿过打点计时器。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④</w:t>
            </w:r>
            <w:r>
              <w:rPr>
                <w:rFonts w:hint="eastAsia" w:ascii="宋体" w:hAnsi="宋体" w:cs="宋体"/>
                <w:color w:val="000000"/>
                <w:highlight w:val="none"/>
                <w:lang w:bidi="ar"/>
              </w:rPr>
              <w:t xml:space="preserve">把轨道的一侧升高，以补偿打点计时器对小车的阻力：调节轨道的倾斜程度，使小车在不受牵引时刚好能拖动纸带沿轨道匀速下滑。</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⑤</w:t>
            </w:r>
            <w:r>
              <w:rPr>
                <w:rFonts w:hint="eastAsia" w:ascii="宋体" w:hAnsi="宋体" w:cs="宋体"/>
                <w:color w:val="000000"/>
                <w:highlight w:val="none"/>
                <w:lang w:bidi="ar"/>
              </w:rPr>
              <w:t xml:space="preserve">测量小车的质量和砝码桶的重力（砝码桶的重力作为对小车的拉力 F）。</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将砝码桶通过细线连接小车。启动打点计时器数秒后释放小车，然后通过纸带测出小车的加速度，记录数据。保持小车质量不变，改变砝码桶质量，再重复4次实验。</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保持小车所挂砝码桶质量不变，改变小车质量，通过纸带测出小车的加速度。再重复实验 4 次，记录数据。</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分析实验数据，得出实验结论。</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投标人未提供视频文件或因投标人自身原因视频文件无法打开或视频画面不清晰无法辨认的不得分。</w:t>
            </w:r>
            <w:r>
              <w:rPr>
                <w:rFonts w:hint="eastAsia" w:ascii="宋体" w:hAnsi="宋体" w:cs="宋体"/>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575" w:type="dxa"/>
            <w:vAlign w:val="center"/>
            <w:textDirection w:val="lrTb"/>
            <w:noWrap w:val="false"/>
          </w:tcPr>
          <w:p>
            <w:pPr>
              <w:pStyle w:val="881"/>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10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hint="eastAsia" w:ascii="宋体" w:hAnsi="宋体" w:cs="宋体"/>
                <w:color w:val="000000"/>
                <w:szCs w:val="21"/>
                <w:highlight w:val="none"/>
              </w:rPr>
              <w:t xml:space="preserve">，</w:t>
            </w:r>
            <w:r>
              <w:rPr>
                <w:rFonts w:ascii="宋体" w:hAnsi="宋体" w:cs="宋体"/>
                <w:color w:val="000000"/>
                <w:highlight w:val="none"/>
                <w:lang w:val="zh-CN"/>
              </w:rPr>
              <w:t xml:space="preserve">包括</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w:t>
            </w:r>
            <w:r>
              <w:rPr>
                <w:rFonts w:ascii="宋体" w:hAnsi="宋体" w:cs="宋体"/>
                <w:color w:val="000000"/>
                <w:highlight w:val="none"/>
                <w:lang w:val="zh-CN"/>
              </w:rPr>
              <w:t xml:space="preserve">施工组织计划及人员配置</w:t>
            </w:r>
            <w:r>
              <w:rPr>
                <w:rFonts w:hint="eastAsia" w:ascii="宋体" w:hAnsi="宋体" w:cs="宋体"/>
                <w:color w:val="000000"/>
                <w:highlight w:val="none"/>
              </w:rPr>
              <w:t xml:space="preserve">；2.</w:t>
            </w:r>
            <w:r>
              <w:rPr>
                <w:rFonts w:ascii="宋体" w:hAnsi="宋体" w:cs="宋体"/>
                <w:color w:val="000000"/>
                <w:highlight w:val="none"/>
                <w:lang w:val="zh-CN"/>
              </w:rPr>
              <w:t xml:space="preserve">设备制造、供货、安装、调试、验收等全过程实施方案</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3.</w:t>
            </w:r>
            <w:r>
              <w:rPr>
                <w:rFonts w:ascii="宋体" w:hAnsi="宋体" w:cs="宋体"/>
                <w:color w:val="000000"/>
                <w:highlight w:val="none"/>
                <w:lang w:val="zh-CN"/>
              </w:rPr>
              <w:t xml:space="preserve">质量及进度保证措施。 </w:t>
            </w:r>
            <w:r>
              <w:rPr>
                <w:rFonts w:ascii="宋体" w:hAnsi="宋体" w:cs="宋体"/>
                <w:color w:val="000000"/>
                <w:highlight w:val="none"/>
                <w:lang w:val="zh-CN"/>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（1）上述每项内容详细、科学合理、可行性强的，得2分； </w:t>
            </w:r>
            <w:r>
              <w:rPr>
                <w:color w:val="000000"/>
                <w:sz w:val="21"/>
                <w:szCs w:val="21"/>
                <w:highlight w:val="none"/>
                <w:lang w:val="en-US" w:bidi="ar-SA"/>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（2）上述每项内容较详细、较科学合理、可行性较强的，得1分，</w:t>
            </w:r>
            <w:r>
              <w:rPr>
                <w:color w:val="000000"/>
                <w:sz w:val="21"/>
                <w:szCs w:val="21"/>
                <w:highlight w:val="none"/>
                <w:lang w:val="en-US" w:bidi="ar-SA"/>
              </w:rPr>
            </w:r>
            <w:r/>
          </w:p>
          <w:p>
            <w:pPr>
              <w:pStyle w:val="1000"/>
              <w:spacing w:line="264" w:lineRule="auto"/>
              <w:rPr>
                <w:rFonts w:hint="eastAsia"/>
                <w:color w:val="000000"/>
                <w:sz w:val="21"/>
                <w:szCs w:val="21"/>
                <w:highlight w:val="none"/>
                <w:lang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330" w:type="dxa"/>
            <w:vAlign w:val="center"/>
            <w:textDirection w:val="lrTb"/>
            <w:noWrap w:val="false"/>
          </w:tcPr>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评委根据投标人提供的项目售后服务方案综合评分</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每项内容逐条阐述</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，包括：1.售后服务保证措施；2.维修方案；3</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质保期内外服务计划。</w:t>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（1）上述每项内容完整，科学合理、操作性强的，得2分；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（2）上述每项内容较完整，较科学合理，有可操作性的，得1分；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highlight w:val="none"/>
              </w:rPr>
              <w:t xml:space="preserve">产品质保期限</w:t>
            </w:r>
            <w:r>
              <w:rPr>
                <w:rFonts w:hint="eastAsia" w:ascii="宋体" w:hAnsi="宋体" w:cs="宋体"/>
                <w:color w:val="000000"/>
                <w:szCs w:val="21"/>
                <w:highlight w:val="none"/>
              </w:rPr>
            </w:r>
            <w:r/>
          </w:p>
        </w:tc>
        <w:tc>
          <w:tcPr>
            <w:tcW w:w="6330" w:type="dxa"/>
            <w:vAlign w:val="center"/>
            <w:textDirection w:val="lrTb"/>
            <w:noWrap w:val="false"/>
          </w:tcPr>
          <w:p>
            <w:pPr>
              <w:pStyle w:val="881"/>
              <w:rPr>
                <w:rFonts w:hint="eastAsia"/>
                <w:color w:val="000000"/>
                <w:sz w:val="21"/>
                <w:szCs w:val="21"/>
                <w:highlight w:val="none"/>
                <w:lang w:val="en-US" w:bidi="ar-SA"/>
              </w:rPr>
            </w:pPr>
            <w:r>
              <w:rPr>
                <w:rFonts w:hint="eastAsia"/>
                <w:color w:val="000000"/>
                <w:szCs w:val="21"/>
                <w:highlight w:val="none"/>
                <w:lang w:bidi="ar"/>
              </w:rPr>
              <w:t xml:space="preserve">在满足招标文</w:t>
            </w:r>
            <w:r>
              <w:rPr>
                <w:rStyle w:val="1006"/>
                <w:b w:val="0"/>
                <w:bCs w:val="0"/>
                <w:color w:val="000000"/>
                <w:sz w:val="21"/>
                <w:szCs w:val="21"/>
                <w:highlight w:val="none"/>
                <w:lang w:bidi="ar"/>
              </w:rPr>
              <w:t xml:space="preserve">件原厂质保期3年的基础上，投标人每免费延长1年质保的得1分，最高得2分。</w:t>
            </w:r>
            <w:r>
              <w:rPr>
                <w:rFonts w:hint="eastAsia"/>
                <w:color w:val="000000"/>
                <w:szCs w:val="21"/>
                <w:highlight w:val="none"/>
              </w:rPr>
              <w:t xml:space="preserve">投标人投标时出具承诺函，并加盖公章。</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客观分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4.业绩</w:t>
            </w:r>
            <w:r>
              <w:rPr>
                <w:rFonts w:hint="eastAsia" w:ascii="宋体" w:hAnsi="宋体" w:cs="宋体"/>
                <w:color w:val="000000"/>
                <w:szCs w:val="21"/>
                <w:highlight w:val="none"/>
              </w:rPr>
            </w:r>
            <w:r/>
          </w:p>
        </w:tc>
      </w:tr>
      <w:tr>
        <w:trPr>
          <w:trHeight w:val="1015"/>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投标人业绩或产品业绩</w:t>
            </w:r>
            <w:r>
              <w:rPr>
                <w:rFonts w:hint="eastAsia"/>
                <w:color w:val="000000"/>
                <w:szCs w:val="21"/>
                <w:highlight w:val="none"/>
              </w:rPr>
            </w:r>
            <w:r/>
          </w:p>
        </w:tc>
        <w:tc>
          <w:tcPr>
            <w:tcW w:w="6330" w:type="dxa"/>
            <w:vAlign w:val="center"/>
            <w:textDirection w:val="lrTb"/>
            <w:noWrap w:val="false"/>
          </w:tcPr>
          <w:p>
            <w:pPr>
              <w:pStyle w:val="881"/>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投标人提供2021年1月1日（含）以来类似项目业绩或产品业绩（至少包含</w:t>
            </w:r>
            <w:r>
              <w:rPr>
                <w:rFonts w:hint="eastAsia" w:ascii="宋体" w:hAnsi="宋体" w:cs="宋体"/>
                <w:color w:val="000000"/>
                <w:highlight w:val="none"/>
              </w:rPr>
              <w:t xml:space="preserve">物理智慧实验室或化学智慧实验室或生物智慧实验室类</w:t>
            </w:r>
            <w:r>
              <w:rPr>
                <w:rFonts w:hint="eastAsia" w:ascii="宋体" w:hAnsi="宋体" w:cs="宋体"/>
                <w:color w:val="000000"/>
                <w:szCs w:val="21"/>
                <w:highlight w:val="none"/>
              </w:rPr>
              <w:t xml:space="preserve">），每提供1个得1分，最多得3分。（时间以合同签订时间为准，提供有效合同，合同页须清晰可见相应内容）</w:t>
            </w:r>
            <w:r>
              <w:rPr>
                <w:rFonts w:ascii="宋体" w:hAnsi="宋体" w:cs="宋体"/>
                <w:color w:val="000000"/>
                <w:szCs w:val="21"/>
                <w:highlight w:val="none"/>
                <w:lang w:bidi="zh-CN"/>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269"/>
        </w:trPr>
        <w:tc>
          <w:tcPr>
            <w:gridSpan w:val="5"/>
            <w:tcW w:w="9575" w:type="dxa"/>
            <w:vAlign w:val="top"/>
            <w:textDirection w:val="lrTb"/>
            <w:noWrap w:val="false"/>
          </w:tcPr>
          <w:p>
            <w:pPr>
              <w:pStyle w:val="881"/>
              <w:spacing w:before="123"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5.履约能力</w:t>
            </w:r>
            <w:r>
              <w:rPr>
                <w:rFonts w:hint="eastAsia" w:ascii="宋体" w:hAnsi="宋体" w:cs="宋体"/>
                <w:color w:val="000000"/>
                <w:szCs w:val="21"/>
                <w:highlight w:val="none"/>
              </w:rPr>
            </w:r>
            <w:r/>
          </w:p>
        </w:tc>
      </w:tr>
      <w:tr>
        <w:trPr>
          <w:trHeight w:val="387"/>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hint="eastAsia" w:ascii="宋体" w:hAnsi="宋体" w:cs="宋体"/>
                <w:color w:val="000000"/>
                <w:spacing w:val="-1"/>
                <w:szCs w:val="21"/>
                <w:highlight w:val="none"/>
              </w:rPr>
            </w:r>
            <w:r/>
          </w:p>
        </w:tc>
        <w:tc>
          <w:tcPr>
            <w:tcW w:w="6330" w:type="dxa"/>
            <w:vAlign w:val="center"/>
            <w:textDirection w:val="lrTb"/>
            <w:noWrap w:val="false"/>
          </w:tcPr>
          <w:p>
            <w:pPr>
              <w:pStyle w:val="881"/>
              <w:jc w:val="left"/>
              <w:rPr>
                <w:rFonts w:hint="eastAsia" w:ascii="宋体" w:hAnsi="宋体" w:cs="宋体"/>
                <w:color w:val="000000"/>
                <w:highlight w:val="none"/>
                <w:u w:val="single"/>
              </w:rPr>
            </w:pPr>
            <w:r>
              <w:rPr>
                <w:rFonts w:hint="eastAsia" w:ascii="宋体" w:hAnsi="宋体" w:cs="宋体"/>
                <w:color w:val="000000"/>
                <w:highlight w:val="none"/>
              </w:rPr>
              <w:t xml:space="preserve">投标人拟投入本项目的项目负责人具有电子信息类中级工程师职称的得1分，电子信息类高级及以上工程师职称的</w:t>
            </w:r>
            <w:r>
              <w:rPr>
                <w:rFonts w:hint="eastAsia" w:ascii="宋体" w:hAnsi="宋体" w:cs="宋体"/>
                <w:color w:val="000000"/>
                <w:highlight w:val="none"/>
                <w:u w:val="none"/>
              </w:rPr>
              <w:t xml:space="preserve">得2分，</w:t>
            </w:r>
            <w:r>
              <w:rPr>
                <w:rFonts w:hint="eastAsia" w:ascii="宋体" w:hAnsi="宋体" w:cs="宋体"/>
                <w:color w:val="000000"/>
                <w:highlight w:val="none"/>
                <w:u w:val="singl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highlight w:val="none"/>
              </w:rPr>
              <w:t xml:space="preserve">（提供人员证书以及投标人为其缴纳的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投标人拟投入本项目的团</w:t>
            </w:r>
            <w:r>
              <w:rPr>
                <w:rFonts w:hint="eastAsia" w:ascii="宋体" w:hAnsi="宋体" w:eastAsia="宋体" w:cs="宋体"/>
                <w:color w:val="000000"/>
                <w:szCs w:val="22"/>
                <w:highlight w:val="none"/>
              </w:rPr>
              <w:t xml:space="preserve">队实施人员（项目负责人除外）具有自动化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中级</w:t>
            </w:r>
            <w:r>
              <w:rPr>
                <w:rFonts w:hint="eastAsia" w:ascii="宋体" w:hAnsi="宋体" w:eastAsia="宋体" w:cs="宋体"/>
                <w:color w:val="000000"/>
                <w:szCs w:val="22"/>
                <w:highlight w:val="none"/>
                <w:lang w:val="en-US" w:eastAsia="zh-CN"/>
              </w:rPr>
              <w:t xml:space="preserve">工程师</w:t>
            </w:r>
            <w:r>
              <w:rPr>
                <w:rFonts w:hint="eastAsia" w:ascii="宋体" w:hAnsi="宋体" w:eastAsia="宋体" w:cs="宋体"/>
                <w:color w:val="000000"/>
                <w:szCs w:val="22"/>
                <w:highlight w:val="none"/>
              </w:rPr>
              <w:t xml:space="preserve">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，每提供一人得1分；具有自动化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高级工程师职称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，每提供一人得2分，最多得4分。</w:t>
            </w:r>
            <w:r>
              <w:rPr>
                <w:rFonts w:hint="eastAsia" w:ascii="宋体" w:hAnsi="宋体" w:eastAsia="宋体" w:cs="宋体"/>
                <w:color w:val="000000"/>
                <w:highlight w:val="none"/>
              </w:rPr>
            </w:r>
            <w:r/>
          </w:p>
          <w:p>
            <w:pPr>
              <w:pStyle w:val="881"/>
              <w:spacing w:line="264" w:lineRule="auto"/>
              <w:rPr>
                <w:rFonts w:hint="eastAsia" w:ascii="宋体" w:hAnsi="宋体" w:cs="宋体"/>
                <w:color w:val="000000"/>
                <w:szCs w:val="21"/>
                <w:highlight w:val="none"/>
              </w:rPr>
            </w:pPr>
            <w:r>
              <w:rPr>
                <w:rFonts w:hint="eastAsia" w:ascii="宋体" w:hAnsi="宋体" w:eastAsia="宋体" w:cs="宋体"/>
                <w:color w:val="000000"/>
                <w:szCs w:val="22"/>
                <w:highlight w:val="none"/>
              </w:rPr>
              <w:t xml:space="preserve">（一人多证不重复计分，以最高分计。提供人员证书以及投标人为其缴纳的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5.3</w:t>
            </w:r>
            <w:r>
              <w:rPr>
                <w:rFonts w:ascii="宋体" w:hAnsi="宋体" w:cs="宋体"/>
                <w:color w:val="000000"/>
                <w:spacing w:val="-2"/>
                <w:szCs w:val="21"/>
                <w:highlight w:val="none"/>
              </w:rPr>
            </w:r>
            <w:r/>
          </w:p>
        </w:tc>
        <w:tc>
          <w:tcPr>
            <w:tcW w:w="117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highlight w:val="none"/>
              </w:rPr>
              <w:t xml:space="preserve">履约能力3</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投标人所投软件产品具有国家版权局出具的计算机软件著作权登记证书（含“实验教学及考核管理”）得2分，不提供不得分。</w:t>
            </w: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（所提供证书“软件名称”与评分细则规定不同时，应提供符合上述要求的内容（功能）说明及关键信息，否则不予认可）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431"/>
        </w:trPr>
        <w:tc>
          <w:tcPr>
            <w:gridSpan w:val="5"/>
            <w:tcW w:w="9575" w:type="dxa"/>
            <w:vAlign w:val="center"/>
            <w:textDirection w:val="lrTb"/>
            <w:noWrap w:val="false"/>
          </w:tcPr>
          <w:p>
            <w:pPr>
              <w:pStyle w:val="881"/>
              <w:spacing w:before="68" w:line="264" w:lineRule="auto"/>
              <w:rPr>
                <w:rFonts w:hint="eastAsia" w:ascii="宋体" w:hAnsi="宋体" w:cs="宋体"/>
                <w:color w:val="000000"/>
                <w:spacing w:val="-6"/>
                <w:szCs w:val="21"/>
                <w:highlight w:val="none"/>
              </w:rPr>
            </w:pPr>
            <w:r>
              <w:rPr>
                <w:rFonts w:hint="eastAsia" w:ascii="宋体" w:hAnsi="宋体" w:cs="宋体"/>
                <w:b/>
                <w:bCs/>
                <w:color w:val="000000"/>
                <w:spacing w:val="-3"/>
                <w:szCs w:val="21"/>
                <w:highlight w:val="none"/>
              </w:rPr>
              <w:t xml:space="preserve">6.节能环保</w:t>
            </w:r>
            <w:r>
              <w:rPr>
                <w:rFonts w:hint="eastAsia" w:ascii="宋体" w:hAnsi="宋体" w:cs="宋体"/>
                <w:color w:val="000000"/>
                <w:spacing w:val="-6"/>
                <w:szCs w:val="21"/>
                <w:highlight w:val="none"/>
              </w:rPr>
            </w:r>
            <w:r/>
          </w:p>
        </w:tc>
      </w:tr>
      <w:tr>
        <w:trPr>
          <w:trHeight w:val="676"/>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投标产品属于财政部、生态环境部公布的《环境</w:t>
            </w:r>
            <w:r>
              <w:rPr>
                <w:rFonts w:ascii="宋体" w:hAnsi="宋体" w:cs="宋体"/>
                <w:color w:val="000000"/>
                <w:szCs w:val="21"/>
                <w:highlight w:val="none"/>
              </w:rPr>
              <w:t xml:space="preserve">标志产品政府采购品目清单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509" w:type="dxa"/>
            <w:vAlign w:val="center"/>
            <w:textDirection w:val="lrTb"/>
            <w:noWrap w:val="false"/>
          </w:tcPr>
          <w:p>
            <w:pPr>
              <w:pStyle w:val="881"/>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881"/>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400"/>
        <w:rPr>
          <w:rFonts w:hint="eastAsia"/>
          <w:color w:val="000000"/>
          <w:highlight w:val="none"/>
        </w:rPr>
      </w:pPr>
      <w:r>
        <w:rPr>
          <w:rFonts w:hint="eastAsia"/>
          <w:color w:val="000000"/>
          <w:highlight w:val="none"/>
        </w:rPr>
      </w:r>
      <w:r/>
    </w:p>
    <w:p>
      <w:pPr>
        <w:pStyle w:val="959"/>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color w:val="000000"/>
          <w:highlight w:val="none"/>
        </w:rPr>
      </w:pPr>
      <w:r>
        <w:rPr>
          <w:rFonts w:hint="eastAsia"/>
          <w:color w:val="000000"/>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1"/>
        <w:jc w:val="center"/>
        <w:rPr>
          <w:rFonts w:hint="eastAsia" w:ascii="宋体" w:hAnsi="宋体"/>
          <w:b/>
          <w:color w:val="000000"/>
          <w:sz w:val="72"/>
          <w:szCs w:val="21"/>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8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1"/>
        <w:spacing w:line="440" w:lineRule="exact"/>
        <w:rPr>
          <w:rFonts w:ascii="宋体" w:hAnsi="宋体"/>
          <w:color w:val="000000"/>
          <w:szCs w:val="21"/>
          <w:highlight w:val="none"/>
        </w:rPr>
      </w:pPr>
      <w:r>
        <w:rPr>
          <w:rFonts w:ascii="宋体" w:hAnsi="宋体"/>
          <w:color w:val="000000"/>
          <w:szCs w:val="21"/>
          <w:highlight w:val="none"/>
        </w:rPr>
      </w:r>
      <w:r/>
    </w:p>
    <w:p>
      <w:pPr>
        <w:pStyle w:val="881"/>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highlight w:val="none"/>
        </w:rPr>
        <w:t xml:space="preserve">投标文件目录</w:t>
      </w:r>
      <w:r>
        <w:rPr>
          <w:rFonts w:hint="eastAsia" w:ascii="方正黑体_GBK" w:hAnsi="方正黑体_GBK" w:eastAsia="方正黑体_GBK" w:cs="方正黑体_GBK"/>
          <w:color w:val="000000"/>
          <w:sz w:val="32"/>
          <w:szCs w:val="32"/>
          <w:highlight w:val="none"/>
        </w:rPr>
      </w:r>
      <w:r/>
    </w:p>
    <w:p>
      <w:pPr>
        <w:pStyle w:val="881"/>
        <w:ind w:firstLine="560"/>
        <w:spacing w:line="600" w:lineRule="exact"/>
        <w:rPr>
          <w:rFonts w:hint="eastAsia" w:ascii="宋体" w:hAnsi="宋体" w:cs="宋体"/>
          <w:color w:val="000000"/>
          <w:sz w:val="28"/>
          <w:szCs w:val="28"/>
          <w:highlight w:val="none"/>
        </w:rPr>
      </w:pPr>
      <w:r/>
      <w:bookmarkStart w:id="202" w:name="_Toc120614284"/>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81"/>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8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881"/>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8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8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rPr>
          <w:color w:val="000000"/>
          <w:sz w:val="24"/>
          <w:szCs w:val="24"/>
          <w:highlight w:val="none"/>
        </w:rPr>
      </w:pPr>
      <w:r>
        <w:rPr>
          <w:color w:val="000000"/>
          <w:sz w:val="24"/>
          <w:szCs w:val="24"/>
          <w:highlight w:val="none"/>
        </w:rPr>
      </w:r>
      <w:r/>
    </w:p>
    <w:p>
      <w:pPr>
        <w:pStyle w:val="88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9"/>
        <w:rPr>
          <w:rFonts w:hint="eastAsia"/>
          <w:color w:val="000000"/>
          <w:highlight w:val="none"/>
          <w:lang w:eastAsia="zh-CN"/>
        </w:rPr>
      </w:pPr>
      <w:r>
        <w:rPr>
          <w:rFonts w:hint="eastAsia"/>
          <w:color w:val="000000"/>
          <w:highlight w:val="none"/>
          <w:lang w:eastAsia="zh-CN"/>
        </w:rPr>
      </w:r>
      <w:r/>
    </w:p>
    <w:p>
      <w:pPr>
        <w:pStyle w:val="881"/>
        <w:rPr>
          <w:rFonts w:hint="eastAsia"/>
          <w:color w:val="000000"/>
          <w:highlight w:val="none"/>
        </w:rPr>
      </w:pPr>
      <w:r>
        <w:rPr>
          <w:rFonts w:hint="eastAsia"/>
          <w:color w:val="000000"/>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8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color w:val="000000"/>
          <w:sz w:val="24"/>
          <w:szCs w:val="24"/>
          <w:highlight w:val="none"/>
        </w:rPr>
      </w:r>
      <w:r/>
    </w:p>
    <w:p>
      <w:pPr>
        <w:pStyle w:val="900"/>
        <w:rPr>
          <w:rFonts w:hint="eastAsia"/>
          <w:i/>
          <w:color w:val="000000"/>
          <w:sz w:val="24"/>
          <w:szCs w:val="24"/>
          <w:highlight w:val="none"/>
          <w:u w:val="single"/>
        </w:rPr>
      </w:pPr>
      <w:r>
        <w:rPr>
          <w:rFonts w:hint="eastAsia"/>
          <w:i/>
          <w:color w:val="000000"/>
          <w:sz w:val="24"/>
          <w:szCs w:val="24"/>
          <w:highlight w:val="none"/>
          <w:u w:val="single"/>
        </w:rPr>
      </w:r>
      <w:r/>
    </w:p>
    <w:p>
      <w:pPr>
        <w:pStyle w:val="900"/>
        <w:ind w:firstLine="0"/>
        <w:rPr>
          <w:rFonts w:hint="eastAsia"/>
          <w:color w:val="000000"/>
          <w:highlight w:val="none"/>
        </w:rPr>
      </w:pPr>
      <w:r>
        <w:rPr>
          <w:rFonts w:hint="eastAsia"/>
          <w:color w:val="000000"/>
          <w:highlight w:val="none"/>
        </w:rPr>
      </w:r>
      <w:r/>
    </w:p>
    <w:p>
      <w:pPr>
        <w:pStyle w:val="88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8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7"/>
        <w:rPr>
          <w:rFonts w:hint="eastAsia"/>
          <w:bCs/>
          <w:color w:val="000000"/>
          <w:sz w:val="24"/>
          <w:highlight w:val="none"/>
        </w:rPr>
      </w:pPr>
      <w:r>
        <w:rPr>
          <w:rFonts w:hint="eastAsia"/>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1"/>
        <w:rPr>
          <w:rFonts w:ascii="宋体" w:hAnsi="宋体"/>
          <w:color w:val="000000"/>
          <w:sz w:val="24"/>
          <w:szCs w:val="24"/>
          <w:highlight w:val="none"/>
        </w:rPr>
      </w:pPr>
      <w:r>
        <w:rPr>
          <w:rFonts w:ascii="宋体" w:hAnsi="宋体"/>
          <w:color w:val="000000"/>
          <w:sz w:val="24"/>
          <w:szCs w:val="24"/>
          <w:highlight w:val="none"/>
        </w:rPr>
      </w:r>
      <w:r/>
    </w:p>
    <w:p>
      <w:pPr>
        <w:pStyle w:val="88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评委会将启动异常低价投标审查机制，投标人应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评委会规定的合理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。投标人</w:t>
      </w:r>
      <w:r>
        <w:rPr>
          <w:rFonts w:hint="eastAsia" w:ascii="宋体" w:hAnsi="宋体"/>
          <w:b/>
          <w:bCs/>
          <w:color w:val="000000"/>
          <w:sz w:val="24"/>
          <w:szCs w:val="24"/>
          <w:highlight w:val="none"/>
        </w:rPr>
        <w:t xml:space="preserve">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不能证明其报价合理性的，将作为无效投标处理。</w:t>
      </w:r>
      <w:r>
        <w:rPr>
          <w:rFonts w:hint="eastAsia" w:ascii="宋体" w:hAnsi="宋体"/>
          <w:b/>
          <w:bCs/>
          <w:color w:val="000000"/>
          <w:sz w:val="24"/>
          <w:szCs w:val="24"/>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753"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2158"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产品品牌</w:t>
            </w:r>
            <w:r>
              <w:rPr>
                <w:rFonts w:hint="eastAsia" w:ascii="宋体" w:hAnsi="宋体"/>
                <w:color w:val="000000"/>
                <w:sz w:val="24"/>
                <w:szCs w:val="24"/>
                <w:highlight w:val="none"/>
              </w:rPr>
            </w:r>
            <w:r/>
          </w:p>
        </w:tc>
        <w:tc>
          <w:tcPr>
            <w:tcW w:w="260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r>
      <w:tr>
        <w:trPr>
          <w:trHeight w:val="963"/>
        </w:trPr>
        <w:tc>
          <w:tcPr>
            <w:tcW w:w="1251"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ascii="宋体" w:hAnsi="宋体" w:cs="宋体"/>
                <w:color w:val="000000"/>
                <w:szCs w:val="21"/>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601"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88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rPr>
          <w:rFonts w:hint="eastAsia" w:ascii="宋体" w:hAnsi="宋体"/>
          <w:b/>
          <w:bCs/>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603"/>
        </w:trPr>
        <w:tc>
          <w:tcPr>
            <w:tcW w:w="581" w:type="dxa"/>
            <w:vAlign w:val="center"/>
            <w:vMerge w:val="continue"/>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8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bl>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88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八、技术要求响应及偏离表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46"/>
        <w:ind w:firstLine="480"/>
        <w:jc w:val="both"/>
        <w:spacing w:before="0" w:beforeAutospacing="0" w:after="0" w:afterAutospacing="0"/>
        <w:rPr>
          <w:color w:val="000000"/>
          <w:highlight w:val="none"/>
        </w:rPr>
      </w:pPr>
      <w:r>
        <w:rPr>
          <w:color w:val="000000"/>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8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9"/>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81"/>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81"/>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9"/>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spacing w:line="336" w:lineRule="auto"/>
        <w:rPr>
          <w:rFonts w:hint="eastAsia"/>
          <w:color w:val="000000"/>
          <w:highlight w:val="none"/>
        </w:rPr>
      </w:pPr>
      <w:r>
        <w:rPr>
          <w:rFonts w:hint="eastAsia"/>
          <w:color w:val="000000"/>
          <w:highlight w:val="none"/>
        </w:rPr>
      </w:r>
      <w:r/>
    </w:p>
    <w:p>
      <w:pPr>
        <w:pStyle w:val="881"/>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rPr>
          <w:rFonts w:hint="eastAsia"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8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8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81"/>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7"/>
        <w:rPr>
          <w:color w:val="000000"/>
          <w:highlight w:val="none"/>
        </w:rPr>
      </w:pPr>
      <w:r>
        <w:rPr>
          <w:color w:val="000000"/>
          <w:highlight w:val="none"/>
        </w:rPr>
      </w:r>
      <w:r/>
    </w:p>
    <w:p>
      <w:pPr>
        <w:pStyle w:val="88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8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93"/>
        <w:ind w:firstLine="480"/>
        <w:rPr>
          <w:rFonts w:hint="eastAsia"/>
          <w:color w:val="000000"/>
          <w:sz w:val="24"/>
          <w:highlight w:val="none"/>
        </w:rPr>
      </w:pPr>
      <w:r>
        <w:rPr>
          <w:rFonts w:hint="eastAsia"/>
          <w:color w:val="000000"/>
          <w:sz w:val="24"/>
          <w:highlight w:val="none"/>
        </w:rPr>
      </w:r>
      <w:r/>
    </w:p>
    <w:p>
      <w:pPr>
        <w:pStyle w:val="881"/>
        <w:rPr>
          <w:rFonts w:hint="eastAsia"/>
          <w:color w:val="000000"/>
          <w:highlight w:val="none"/>
        </w:rPr>
      </w:pPr>
      <w:r>
        <w:rPr>
          <w:rFonts w:hint="eastAsia"/>
          <w:color w:val="000000"/>
          <w:highlight w:val="none"/>
        </w:rPr>
      </w:r>
      <w:r/>
    </w:p>
    <w:p>
      <w:pPr>
        <w:pStyle w:val="881"/>
        <w:ind w:firstLine="645"/>
        <w:spacing w:line="560" w:lineRule="exact"/>
        <w:rPr>
          <w:rFonts w:ascii="宋体" w:hAnsi="宋体"/>
          <w:color w:val="000000"/>
          <w:sz w:val="24"/>
          <w:highlight w:val="none"/>
        </w:rPr>
      </w:pPr>
      <w:r>
        <w:rPr>
          <w:rFonts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pPr>
      <w:r/>
      <w:bookmarkEnd w:id="202"/>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8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p>
      <w:pPr>
        <w:pStyle w:val="881"/>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８３</w:t>
    </w:r>
    <w:r>
      <w:rPr>
        <w:rFonts w:ascii="宋体" w:hAnsi="宋体"/>
      </w:rPr>
      <w:fldChar w:fldCharType="end"/>
    </w:r>
    <w:r>
      <w:rPr>
        <w:rStyle w:val="954"/>
        <w:rFonts w:ascii="宋体" w:hAnsi="宋体"/>
      </w:rPr>
    </w:r>
    <w:r/>
  </w:p>
  <w:p>
    <w:pPr>
      <w:pStyle w:val="93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num w:numId="1">
    <w:abstractNumId w:val="9"/>
  </w:num>
  <w:num w:numId="2">
    <w:abstractNumId w:val="2"/>
  </w:num>
  <w:num w:numId="3">
    <w:abstractNumId w:val="7"/>
  </w:num>
  <w:num w:numId="4">
    <w:abstractNumId w:val="1"/>
  </w:num>
  <w:num w:numId="5">
    <w:abstractNumId w:val="4"/>
  </w:num>
  <w:num w:numId="6">
    <w:abstractNumId w:val="5"/>
  </w:num>
  <w:num w:numId="7">
    <w:abstractNumId w:val="3"/>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2"/>
      <w:lang w:val="en-US" w:eastAsia="zh-CN" w:bidi="ar-SA"/>
    </w:rPr>
  </w:style>
  <w:style w:type="paragraph" w:styleId="882">
    <w:name w:val="标题 1"/>
    <w:basedOn w:val="881"/>
    <w:next w:val="881"/>
    <w:link w:val="898"/>
    <w:qFormat/>
    <w:pPr>
      <w:jc w:val="center"/>
      <w:keepNext/>
      <w:outlineLvl w:val="0"/>
    </w:pPr>
    <w:rPr>
      <w:rFonts w:ascii="楷体_GB2312" w:eastAsia="楷体_GB2312"/>
      <w:sz w:val="28"/>
      <w:szCs w:val="28"/>
    </w:rPr>
  </w:style>
  <w:style w:type="paragraph" w:styleId="883">
    <w:name w:val="标题 2"/>
    <w:basedOn w:val="881"/>
    <w:next w:val="900"/>
    <w:link w:val="899"/>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900"/>
    <w:link w:val="902"/>
    <w:qFormat/>
    <w:pPr>
      <w:keepLines/>
      <w:keepNext/>
      <w:spacing w:before="260" w:after="260" w:line="416" w:lineRule="auto"/>
      <w:outlineLvl w:val="2"/>
    </w:pPr>
    <w:rPr>
      <w:b/>
      <w:bCs/>
      <w:sz w:val="32"/>
      <w:szCs w:val="32"/>
    </w:rPr>
  </w:style>
  <w:style w:type="paragraph" w:styleId="885">
    <w:name w:val="标题 4"/>
    <w:basedOn w:val="881"/>
    <w:next w:val="900"/>
    <w:link w:val="903"/>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900"/>
    <w:link w:val="904"/>
    <w:qFormat/>
    <w:pPr>
      <w:keepNext/>
      <w:outlineLvl w:val="4"/>
    </w:pPr>
    <w:rPr>
      <w:rFonts w:ascii="宋体"/>
      <w:color w:val="000000"/>
      <w:sz w:val="28"/>
      <w:szCs w:val="28"/>
    </w:rPr>
  </w:style>
  <w:style w:type="paragraph" w:styleId="887">
    <w:name w:val="标题 6"/>
    <w:basedOn w:val="881"/>
    <w:next w:val="881"/>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6"/>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8"/>
    <w:qFormat/>
    <w:pPr>
      <w:numPr>
        <w:ilvl w:val="8"/>
        <w:numId w:val="1"/>
      </w:numPr>
      <w:keepLines/>
      <w:keepNext/>
      <w:spacing w:before="240" w:after="64" w:line="320" w:lineRule="auto"/>
      <w:outlineLvl w:val="8"/>
    </w:pPr>
    <w:rPr>
      <w:rFonts w:ascii="Arial" w:hAnsi="Arial" w:eastAsia="黑体"/>
      <w:sz w:val="20"/>
      <w:szCs w:val="21"/>
    </w:rPr>
  </w:style>
  <w:style w:type="character" w:styleId="891">
    <w:name w:val="默认段落字体"/>
    <w:next w:val="891"/>
    <w:link w:val="881"/>
    <w:uiPriority w:val="1"/>
    <w:unhideWhenUsed/>
  </w:style>
  <w:style w:type="table" w:styleId="892">
    <w:name w:val="普通表格"/>
    <w:next w:val="892"/>
    <w:link w:val="88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3">
    <w:name w:val="正文首行缩进 2"/>
    <w:basedOn w:val="894"/>
    <w:next w:val="881"/>
    <w:link w:val="897"/>
    <w:pPr>
      <w:ind w:left="0" w:firstLine="420"/>
      <w:spacing w:after="0" w:line="360" w:lineRule="auto"/>
    </w:pPr>
    <w:rPr>
      <w:rFonts w:ascii="宋体" w:hAnsi="宋体"/>
      <w:sz w:val="20"/>
      <w:szCs w:val="20"/>
    </w:rPr>
  </w:style>
  <w:style w:type="paragraph" w:styleId="894">
    <w:name w:val="正文文本缩进"/>
    <w:basedOn w:val="881"/>
    <w:next w:val="896"/>
    <w:link w:val="895"/>
    <w:unhideWhenUsed/>
    <w:pPr>
      <w:ind w:left="420"/>
      <w:spacing w:after="120"/>
    </w:pPr>
  </w:style>
  <w:style w:type="character" w:styleId="895">
    <w:name w:val="正文文本缩进 Char"/>
    <w:basedOn w:val="891"/>
    <w:next w:val="895"/>
    <w:link w:val="894"/>
    <w:uiPriority w:val="99"/>
    <w:semiHidden/>
  </w:style>
  <w:style w:type="paragraph" w:styleId="896">
    <w:name w:val="寄信人地址"/>
    <w:basedOn w:val="881"/>
    <w:next w:val="896"/>
    <w:link w:val="881"/>
    <w:qFormat/>
    <w:rPr>
      <w:rFonts w:ascii="Arial" w:hAnsi="Arial" w:eastAsia="宋体" w:cs="宋体"/>
    </w:rPr>
  </w:style>
  <w:style w:type="character" w:styleId="897">
    <w:name w:val="正文首行缩进 2 Char"/>
    <w:next w:val="897"/>
    <w:link w:val="893"/>
    <w:rPr>
      <w:rFonts w:ascii="宋体" w:hAnsi="宋体" w:eastAsia="宋体" w:cs="Times New Roman"/>
      <w:szCs w:val="20"/>
    </w:rPr>
  </w:style>
  <w:style w:type="character" w:styleId="898">
    <w:name w:val="标题 1 Char"/>
    <w:next w:val="898"/>
    <w:link w:val="882"/>
    <w:rPr>
      <w:rFonts w:ascii="楷体_GB2312" w:hAnsi="Times New Roman" w:eastAsia="楷体_GB2312" w:cs="Times New Roman"/>
      <w:sz w:val="28"/>
      <w:szCs w:val="28"/>
    </w:rPr>
  </w:style>
  <w:style w:type="character" w:styleId="899">
    <w:name w:val="标题 2 Char"/>
    <w:next w:val="899"/>
    <w:link w:val="883"/>
    <w:rPr>
      <w:rFonts w:ascii="Arial" w:hAnsi="Arial" w:eastAsia="幼圆" w:cs="Arial"/>
      <w:b/>
      <w:bCs/>
      <w:sz w:val="44"/>
      <w:szCs w:val="44"/>
    </w:rPr>
  </w:style>
  <w:style w:type="paragraph" w:styleId="900">
    <w:name w:val="正文缩进"/>
    <w:basedOn w:val="881"/>
    <w:next w:val="900"/>
    <w:link w:val="901"/>
    <w:pPr>
      <w:ind w:firstLine="420"/>
    </w:pPr>
    <w:rPr>
      <w:sz w:val="20"/>
      <w:szCs w:val="21"/>
    </w:rPr>
  </w:style>
  <w:style w:type="character" w:styleId="901">
    <w:name w:val="正文缩进 Char"/>
    <w:next w:val="901"/>
    <w:link w:val="900"/>
    <w:rPr>
      <w:szCs w:val="21"/>
    </w:rPr>
  </w:style>
  <w:style w:type="character" w:styleId="902">
    <w:name w:val="标题 3 Char"/>
    <w:next w:val="902"/>
    <w:link w:val="884"/>
    <w:rPr>
      <w:rFonts w:ascii="Times New Roman" w:hAnsi="Times New Roman" w:eastAsia="宋体" w:cs="Times New Roman"/>
      <w:b/>
      <w:bCs/>
      <w:sz w:val="32"/>
      <w:szCs w:val="32"/>
    </w:rPr>
  </w:style>
  <w:style w:type="character" w:styleId="903">
    <w:name w:val="标题 4 Char"/>
    <w:next w:val="903"/>
    <w:link w:val="885"/>
    <w:rPr>
      <w:rFonts w:ascii="Arial" w:hAnsi="Arial" w:eastAsia="黑体" w:cs="Arial"/>
      <w:b/>
      <w:bCs/>
      <w:sz w:val="28"/>
      <w:szCs w:val="28"/>
    </w:rPr>
  </w:style>
  <w:style w:type="character" w:styleId="904">
    <w:name w:val="标题 5 Char"/>
    <w:next w:val="904"/>
    <w:link w:val="886"/>
    <w:rPr>
      <w:rFonts w:ascii="宋体" w:hAnsi="Times New Roman" w:eastAsia="宋体" w:cs="Times New Roman"/>
      <w:color w:val="000000"/>
      <w:sz w:val="28"/>
      <w:szCs w:val="28"/>
    </w:rPr>
  </w:style>
  <w:style w:type="character" w:styleId="905">
    <w:name w:val="标题 6 Char"/>
    <w:next w:val="905"/>
    <w:link w:val="887"/>
    <w:rPr>
      <w:rFonts w:ascii="Arial" w:hAnsi="Arial" w:eastAsia="黑体" w:cs="Times New Roman"/>
      <w:b/>
      <w:bCs/>
      <w:sz w:val="24"/>
      <w:szCs w:val="24"/>
    </w:rPr>
  </w:style>
  <w:style w:type="character" w:styleId="906">
    <w:name w:val="标题 7 Char"/>
    <w:next w:val="906"/>
    <w:link w:val="888"/>
    <w:rPr>
      <w:rFonts w:ascii="Times New Roman" w:hAnsi="Times New Roman" w:eastAsia="宋体" w:cs="Times New Roman"/>
      <w:b/>
      <w:bCs/>
      <w:sz w:val="24"/>
      <w:szCs w:val="24"/>
    </w:rPr>
  </w:style>
  <w:style w:type="character" w:styleId="907">
    <w:name w:val="标题 8 Char"/>
    <w:next w:val="907"/>
    <w:link w:val="889"/>
    <w:rPr>
      <w:rFonts w:ascii="Arial" w:hAnsi="Arial" w:eastAsia="黑体" w:cs="Times New Roman"/>
      <w:sz w:val="24"/>
      <w:szCs w:val="24"/>
    </w:rPr>
  </w:style>
  <w:style w:type="character" w:styleId="908">
    <w:name w:val="标题 9 Char"/>
    <w:next w:val="908"/>
    <w:link w:val="890"/>
    <w:rPr>
      <w:rFonts w:ascii="Arial" w:hAnsi="Arial" w:eastAsia="黑体" w:cs="Times New Roman"/>
      <w:szCs w:val="21"/>
    </w:rPr>
  </w:style>
  <w:style w:type="paragraph" w:styleId="909">
    <w:name w:val="列表 3"/>
    <w:basedOn w:val="881"/>
    <w:next w:val="909"/>
    <w:link w:val="881"/>
    <w:pPr>
      <w:ind w:left="100" w:hanging="200"/>
    </w:pPr>
    <w:rPr>
      <w:rFonts w:ascii="Times New Roman" w:hAnsi="Times New Roman" w:eastAsia="宋体" w:cs="Times New Roman"/>
      <w:szCs w:val="21"/>
    </w:rPr>
  </w:style>
  <w:style w:type="paragraph" w:styleId="910">
    <w:name w:val="目录 7"/>
    <w:basedOn w:val="881"/>
    <w:next w:val="881"/>
    <w:link w:val="881"/>
    <w:semiHidden/>
    <w:pPr>
      <w:ind w:left="1260"/>
      <w:jc w:val="left"/>
    </w:pPr>
    <w:rPr>
      <w:rFonts w:ascii="Times New Roman" w:hAnsi="Times New Roman" w:eastAsia="宋体" w:cs="Times New Roman"/>
      <w:szCs w:val="21"/>
    </w:rPr>
  </w:style>
  <w:style w:type="paragraph" w:styleId="911">
    <w:name w:val="文档结构图"/>
    <w:basedOn w:val="881"/>
    <w:next w:val="911"/>
    <w:link w:val="912"/>
    <w:semiHidden/>
    <w:pPr>
      <w:shd w:val="clear" w:color="auto" w:fill="000080"/>
    </w:pPr>
    <w:rPr>
      <w:sz w:val="20"/>
      <w:szCs w:val="21"/>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1"/>
    <w:next w:val="913"/>
    <w:link w:val="91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4">
    <w:name w:val="批注文字 Char"/>
    <w:basedOn w:val="891"/>
    <w:next w:val="914"/>
    <w:link w:val="913"/>
    <w:uiPriority w:val="99"/>
    <w:semiHidden/>
  </w:style>
  <w:style w:type="paragraph" w:styleId="915">
    <w:name w:val="正文文本 3"/>
    <w:basedOn w:val="881"/>
    <w:next w:val="915"/>
    <w:link w:val="916"/>
    <w:rPr>
      <w:rFonts w:ascii="仿宋_GB2312" w:hAnsi="Arial" w:eastAsia="仿宋_GB2312"/>
      <w:sz w:val="32"/>
      <w:szCs w:val="32"/>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1"/>
    <w:next w:val="917"/>
    <w:link w:val="918"/>
    <w:rPr>
      <w:rFonts w:ascii="楷体_GB2312" w:hAnsi="Arial" w:eastAsia="楷体_GB2312"/>
      <w:sz w:val="28"/>
      <w:szCs w:val="28"/>
    </w:rPr>
  </w:style>
  <w:style w:type="character" w:styleId="918">
    <w:name w:val="正文文本 Char"/>
    <w:next w:val="918"/>
    <w:link w:val="917"/>
    <w:rPr>
      <w:rFonts w:ascii="楷体_GB2312" w:hAnsi="Arial" w:eastAsia="楷体_GB2312" w:cs="Times New Roman"/>
      <w:sz w:val="28"/>
      <w:szCs w:val="28"/>
    </w:rPr>
  </w:style>
  <w:style w:type="paragraph" w:styleId="919">
    <w:name w:val="列表 2"/>
    <w:basedOn w:val="881"/>
    <w:next w:val="919"/>
    <w:link w:val="881"/>
    <w:pPr>
      <w:ind w:left="100" w:hanging="200"/>
    </w:pPr>
    <w:rPr>
      <w:rFonts w:ascii="Times New Roman" w:hAnsi="Times New Roman" w:eastAsia="宋体" w:cs="Times New Roman"/>
      <w:szCs w:val="21"/>
    </w:rPr>
  </w:style>
  <w:style w:type="paragraph" w:styleId="920">
    <w:name w:val="目录 5"/>
    <w:basedOn w:val="881"/>
    <w:next w:val="881"/>
    <w:link w:val="881"/>
    <w:semiHidden/>
    <w:pPr>
      <w:ind w:left="840"/>
      <w:jc w:val="left"/>
    </w:pPr>
    <w:rPr>
      <w:rFonts w:ascii="Times New Roman" w:hAnsi="Times New Roman" w:eastAsia="宋体" w:cs="Times New Roman"/>
      <w:szCs w:val="21"/>
    </w:rPr>
  </w:style>
  <w:style w:type="paragraph" w:styleId="921">
    <w:name w:val="目录 3"/>
    <w:basedOn w:val="881"/>
    <w:next w:val="881"/>
    <w:link w:val="881"/>
    <w:semiHidden/>
    <w:pPr>
      <w:ind w:left="420"/>
      <w:jc w:val="left"/>
    </w:pPr>
    <w:rPr>
      <w:rFonts w:ascii="Times New Roman" w:hAnsi="Times New Roman" w:eastAsia="宋体" w:cs="Times New Roman"/>
      <w:i/>
      <w:iCs/>
      <w:szCs w:val="24"/>
    </w:rPr>
  </w:style>
  <w:style w:type="paragraph" w:styleId="922">
    <w:name w:val="纯文本"/>
    <w:basedOn w:val="881"/>
    <w:next w:val="922"/>
    <w:link w:val="923"/>
    <w:rPr>
      <w:rFonts w:ascii="宋体" w:hAnsi="Courier New"/>
      <w:sz w:val="20"/>
      <w:szCs w:val="21"/>
    </w:rPr>
  </w:style>
  <w:style w:type="character" w:styleId="923">
    <w:name w:val="纯文本 Char"/>
    <w:next w:val="923"/>
    <w:link w:val="922"/>
    <w:rPr>
      <w:rFonts w:ascii="宋体" w:hAnsi="Courier New" w:eastAsia="宋体" w:cs="Courier New"/>
      <w:szCs w:val="21"/>
    </w:rPr>
  </w:style>
  <w:style w:type="paragraph" w:styleId="924">
    <w:name w:val="目录 8"/>
    <w:basedOn w:val="881"/>
    <w:next w:val="881"/>
    <w:link w:val="881"/>
    <w:semiHidden/>
    <w:pPr>
      <w:ind w:left="1470"/>
      <w:jc w:val="left"/>
    </w:pPr>
    <w:rPr>
      <w:rFonts w:ascii="Times New Roman" w:hAnsi="Times New Roman" w:eastAsia="宋体" w:cs="Times New Roman"/>
      <w:szCs w:val="21"/>
    </w:rPr>
  </w:style>
  <w:style w:type="paragraph" w:styleId="925">
    <w:name w:val="日期"/>
    <w:basedOn w:val="881"/>
    <w:next w:val="881"/>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1"/>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1"/>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1"/>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1"/>
    <w:next w:val="933"/>
    <w:link w:val="934"/>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rPr>
      <w:rFonts w:ascii="Times New Roman" w:hAnsi="Times New Roman" w:eastAsia="宋体" w:cs="Times New Roman"/>
      <w:sz w:val="18"/>
      <w:szCs w:val="18"/>
    </w:rPr>
  </w:style>
  <w:style w:type="paragraph" w:styleId="935">
    <w:name w:val="目录 1"/>
    <w:basedOn w:val="881"/>
    <w:next w:val="881"/>
    <w:link w:val="8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6">
    <w:name w:val="目录 4"/>
    <w:basedOn w:val="881"/>
    <w:next w:val="881"/>
    <w:link w:val="881"/>
    <w:semiHidden/>
    <w:pPr>
      <w:ind w:left="630"/>
      <w:jc w:val="left"/>
    </w:pPr>
    <w:rPr>
      <w:rFonts w:ascii="Times New Roman" w:hAnsi="Times New Roman" w:eastAsia="宋体" w:cs="Times New Roman"/>
      <w:szCs w:val="21"/>
    </w:rPr>
  </w:style>
  <w:style w:type="paragraph" w:styleId="937">
    <w:name w:val="列表"/>
    <w:basedOn w:val="881"/>
    <w:next w:val="937"/>
    <w:link w:val="881"/>
    <w:pPr>
      <w:ind w:left="200" w:hanging="200"/>
    </w:pPr>
    <w:rPr>
      <w:rFonts w:ascii="Times New Roman" w:hAnsi="Times New Roman" w:eastAsia="宋体" w:cs="Times New Roman"/>
      <w:szCs w:val="21"/>
    </w:rPr>
  </w:style>
  <w:style w:type="paragraph" w:styleId="938">
    <w:name w:val="目录 6"/>
    <w:basedOn w:val="881"/>
    <w:next w:val="881"/>
    <w:link w:val="881"/>
    <w:semiHidden/>
    <w:pPr>
      <w:ind w:left="1050"/>
      <w:jc w:val="left"/>
    </w:pPr>
    <w:rPr>
      <w:rFonts w:ascii="Times New Roman" w:hAnsi="Times New Roman" w:eastAsia="宋体" w:cs="Times New Roman"/>
      <w:szCs w:val="21"/>
    </w:rPr>
  </w:style>
  <w:style w:type="paragraph" w:styleId="939">
    <w:name w:val="正文文本缩进 3"/>
    <w:basedOn w:val="881"/>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1"/>
    <w:next w:val="881"/>
    <w:link w:val="881"/>
    <w:semiHidden/>
    <w:pPr>
      <w:ind w:left="840" w:hanging="420"/>
    </w:pPr>
    <w:rPr>
      <w:rFonts w:ascii="Times New Roman" w:hAnsi="Times New Roman" w:eastAsia="宋体" w:cs="Times New Roman"/>
      <w:szCs w:val="21"/>
    </w:rPr>
  </w:style>
  <w:style w:type="paragraph" w:styleId="942">
    <w:name w:val="目录 2"/>
    <w:basedOn w:val="881"/>
    <w:next w:val="881"/>
    <w:link w:val="881"/>
    <w:semiHidden/>
    <w:pPr>
      <w:ind w:left="210"/>
      <w:jc w:val="left"/>
    </w:pPr>
    <w:rPr>
      <w:rFonts w:ascii="Times New Roman" w:hAnsi="Times New Roman" w:eastAsia="宋体" w:cs="Times New Roman"/>
      <w:smallCaps/>
      <w:szCs w:val="24"/>
    </w:rPr>
  </w:style>
  <w:style w:type="paragraph" w:styleId="943">
    <w:name w:val="目录 9"/>
    <w:basedOn w:val="881"/>
    <w:next w:val="881"/>
    <w:link w:val="881"/>
    <w:semiHidden/>
    <w:pPr>
      <w:ind w:left="1680"/>
      <w:jc w:val="left"/>
    </w:pPr>
    <w:rPr>
      <w:rFonts w:ascii="Times New Roman" w:hAnsi="Times New Roman" w:eastAsia="宋体" w:cs="Times New Roman"/>
      <w:szCs w:val="21"/>
    </w:rPr>
  </w:style>
  <w:style w:type="paragraph" w:styleId="944">
    <w:name w:val="正文文本 2"/>
    <w:basedOn w:val="881"/>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1"/>
    <w:next w:val="946"/>
    <w:link w:val="881"/>
    <w:uiPriority w:val="99"/>
    <w:pPr>
      <w:jc w:val="left"/>
      <w:spacing w:before="100" w:beforeAutospacing="1" w:after="100" w:afterAutospacing="1"/>
      <w:widowControl/>
    </w:pPr>
    <w:rPr>
      <w:rFonts w:ascii="宋体" w:hAnsi="宋体" w:eastAsia="宋体" w:cs="宋体"/>
      <w:sz w:val="24"/>
      <w:szCs w:val="24"/>
    </w:rPr>
  </w:style>
  <w:style w:type="paragraph" w:styleId="947">
    <w:name w:val="索引 1"/>
    <w:basedOn w:val="881"/>
    <w:next w:val="881"/>
    <w:link w:val="881"/>
    <w:semiHidden/>
    <w:pPr>
      <w:spacing w:line="240" w:lineRule="atLeast"/>
    </w:pPr>
    <w:rPr>
      <w:rFonts w:ascii="Times New Roman" w:hAnsi="Times New Roman" w:eastAsia="宋体" w:cs="Times New Roman"/>
      <w:b/>
      <w:bCs/>
      <w:szCs w:val="21"/>
    </w:rPr>
  </w:style>
  <w:style w:type="paragraph" w:styleId="948">
    <w:name w:val="批注主题"/>
    <w:basedOn w:val="913"/>
    <w:next w:val="913"/>
    <w:link w:val="949"/>
    <w:semiHidden/>
    <w:rPr>
      <w:rFonts w:ascii="Times New Roman" w:hAnsi="Times New Roman"/>
      <w:b/>
      <w:bCs/>
      <w:sz w:val="20"/>
      <w:szCs w:val="21"/>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1"/>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已访问的超链接"/>
    <w:next w:val="955"/>
    <w:link w:val="881"/>
    <w:rPr>
      <w:color w:val="800080"/>
      <w:u w:val="single"/>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批注文字 字符"/>
    <w:basedOn w:val="891"/>
    <w:next w:val="958"/>
    <w:link w:val="913"/>
    <w:rPr>
      <w:rFonts w:ascii="Calibri" w:hAnsi="Calibri" w:eastAsia="宋体" w:cs="Times New Roman"/>
      <w:sz w:val="21"/>
      <w:szCs w:val="24"/>
    </w:rPr>
  </w:style>
  <w:style w:type="paragraph" w:styleId="959">
    <w:name w:val="索引 41"/>
    <w:basedOn w:val="881"/>
    <w:next w:val="881"/>
    <w:link w:val="881"/>
    <w:semiHidden/>
    <w:qFormat/>
    <w:pPr>
      <w:ind w:left="1260"/>
    </w:pPr>
    <w:rPr>
      <w:rFonts w:ascii="Calibri" w:hAnsi="Calibri" w:eastAsia="Calibri" w:cs="宋体"/>
      <w:sz w:val="20"/>
      <w:lang w:val="zh-CN"/>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7"/>
    <w:link w:val="881"/>
    <w:pPr>
      <w:spacing w:after="120"/>
    </w:pPr>
    <w:rPr>
      <w:rFonts w:ascii="宋体" w:hAnsi="Arial" w:eastAsia="宋体" w:cs="Times New Roman"/>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81"/>
    <w:next w:val="968"/>
    <w:link w:val="881"/>
    <w:pPr>
      <w:ind w:firstLine="200"/>
      <w:tabs>
        <w:tab w:val="left" w:pos="360" w:leader="none"/>
      </w:tabs>
    </w:pPr>
    <w:rPr>
      <w:rFonts w:ascii="Times New Roman" w:hAnsi="Times New Roman" w:eastAsia="宋体" w:cs="Times New Roman"/>
      <w:sz w:val="28"/>
      <w:szCs w:val="30"/>
    </w:rPr>
  </w:style>
  <w:style w:type="paragraph" w:styleId="969">
    <w:name w:val=" Char"/>
    <w:basedOn w:val="911"/>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eastAsia="宋体" w:cs="Times New Roman"/>
      <w:sz w:val="24"/>
      <w:szCs w:val="24"/>
    </w:rPr>
  </w:style>
  <w:style w:type="paragraph" w:styleId="971">
    <w:name w:val="table_lines"/>
    <w:basedOn w:val="881"/>
    <w:next w:val="971"/>
    <w:link w:val="881"/>
    <w:pPr>
      <w:jc w:val="left"/>
      <w:widowControl/>
    </w:pPr>
    <w:rPr>
      <w:rFonts w:ascii="Times New Roman" w:hAnsi="Times New Roman" w:eastAsia="宋体" w:cs="Times New Roman"/>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11"/>
    <w:next w:val="974"/>
    <w:link w:val="881"/>
    <w:pPr>
      <w:spacing w:line="360" w:lineRule="auto"/>
    </w:pPr>
    <w:rPr>
      <w:rFonts w:ascii="Tahoma" w:hAnsi="Tahoma"/>
      <w:sz w:val="24"/>
      <w:szCs w:val="24"/>
    </w:rPr>
  </w:style>
  <w:style w:type="paragraph" w:styleId="975">
    <w:name w:val="列出段落"/>
    <w:basedOn w:val="881"/>
    <w:next w:val="975"/>
    <w:link w:val="881"/>
    <w:qFormat/>
    <w:pPr>
      <w:contextualSpacing/>
      <w:ind w:left="720"/>
      <w:jc w:val="left"/>
      <w:widowControl/>
    </w:pPr>
    <w:rPr>
      <w:rFonts w:ascii="Calibri" w:hAnsi="Calibri" w:eastAsia="宋体" w:cs="Times New Roman"/>
      <w:sz w:val="24"/>
      <w:szCs w:val="24"/>
      <w:lang w:eastAsia="en-US" w:bidi="en-US"/>
    </w:rPr>
  </w:style>
  <w:style w:type="paragraph" w:styleId="976">
    <w:name w:val="4"/>
    <w:basedOn w:val="881"/>
    <w:next w:val="939"/>
    <w:link w:val="881"/>
    <w:pPr>
      <w:ind w:firstLine="420"/>
      <w:spacing w:line="360" w:lineRule="auto"/>
    </w:pPr>
    <w:rPr>
      <w:rFonts w:ascii="Times New Roman" w:hAnsi="Times New Roman" w:eastAsia="宋体" w:cs="Times New Roman"/>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81"/>
    <w:next w:val="978"/>
    <w:link w:val="881"/>
    <w:pPr>
      <w:spacing w:line="360" w:lineRule="auto"/>
    </w:pPr>
    <w:rPr>
      <w:rFonts w:ascii="Times New Roman" w:hAnsi="Times New Roman" w:eastAsia="宋体" w:cs="Times New Roman"/>
      <w:sz w:val="24"/>
      <w:szCs w:val="20"/>
    </w:rPr>
  </w:style>
  <w:style w:type="paragraph" w:styleId="979">
    <w:name w:val="样式1"/>
    <w:basedOn w:val="881"/>
    <w:next w:val="979"/>
    <w:link w:val="881"/>
    <w:pPr>
      <w:numPr>
        <w:ilvl w:val="0"/>
        <w:numId w:val="3"/>
      </w:numPr>
      <w:tabs>
        <w:tab w:val="left" w:pos="709" w:leader="none"/>
      </w:tabs>
    </w:pPr>
    <w:rPr>
      <w:rFonts w:ascii="宋体" w:hAnsi="宋体" w:eastAsia="宋体" w:cs="Times New Roman"/>
      <w:szCs w:val="21"/>
    </w:rPr>
  </w:style>
  <w:style w:type="paragraph" w:styleId="980">
    <w:name w:val="font6"/>
    <w:basedOn w:val="881"/>
    <w:next w:val="980"/>
    <w:link w:val="881"/>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81"/>
    <w:next w:val="881"/>
    <w:link w:val="881"/>
    <w:pPr>
      <w:ind w:firstLine="624"/>
      <w:spacing w:line="590" w:lineRule="atLeast"/>
    </w:pPr>
    <w:rPr>
      <w:rFonts w:ascii="方正黑体_GBK" w:hAnsi="Times New Roman" w:eastAsia="方正黑体_GBK" w:cs="Times New Roman"/>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eastAsia="宋体" w:cs="Times New Roman"/>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eastAsia="宋体" w:cs="Times New Roman"/>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11"/>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81"/>
    <w:uiPriority w:val="99"/>
    <w:semiHidden/>
    <w:rPr>
      <w:sz w:val="21"/>
      <w:szCs w:val="21"/>
      <w:lang w:val="en-US" w:eastAsia="zh-CN" w:bidi="ar-SA"/>
    </w:rPr>
  </w:style>
  <w:style w:type="paragraph" w:styleId="995">
    <w:name w:val="无间隔"/>
    <w:next w:val="995"/>
    <w:link w:val="881"/>
    <w:uiPriority w:val="99"/>
    <w:qFormat/>
    <w:pPr>
      <w:jc w:val="both"/>
      <w:widowControl w:val="off"/>
    </w:pPr>
    <w:rPr>
      <w:sz w:val="21"/>
      <w:szCs w:val="21"/>
      <w:lang w:val="en-US" w:eastAsia="zh-CN" w:bidi="ar-SA"/>
    </w:rPr>
  </w:style>
  <w:style w:type="table" w:styleId="996">
    <w:name w:val="Table Normal"/>
    <w:next w:val="996"/>
    <w:link w:val="881"/>
    <w:qFormat/>
    <w:rPr>
      <w:lang w:val="en-US" w:eastAsia="zh-CN" w:bidi="ar-SA"/>
    </w:rPr>
    <w:tblPr/>
  </w:style>
  <w:style w:type="paragraph" w:styleId="997">
    <w:name w:val="正文文本12"/>
    <w:basedOn w:val="881"/>
    <w:next w:val="997"/>
    <w:link w:val="881"/>
    <w:uiPriority w:val="1"/>
    <w:qFormat/>
    <w:pPr>
      <w:ind w:left="120"/>
    </w:pPr>
    <w:rPr>
      <w:rFonts w:ascii="宋体" w:hAnsi="宋体" w:eastAsia="宋体" w:cs="宋体"/>
      <w:sz w:val="21"/>
      <w:szCs w:val="21"/>
      <w:lang w:val="zh-CN" w:eastAsia="zh-CN" w:bidi="zh-CN"/>
    </w:rPr>
  </w:style>
  <w:style w:type="paragraph" w:styleId="998">
    <w:name w:val="正文文本 211"/>
    <w:basedOn w:val="881"/>
    <w:next w:val="998"/>
    <w:link w:val="881"/>
    <w:uiPriority w:val="99"/>
    <w:qFormat/>
    <w:pPr>
      <w:jc w:val="center"/>
    </w:pPr>
    <w:rPr>
      <w:b/>
      <w:bCs/>
      <w:sz w:val="20"/>
      <w:szCs w:val="20"/>
    </w:rPr>
  </w:style>
  <w:style w:type="paragraph" w:styleId="999">
    <w:name w:val="正文文本1"/>
    <w:basedOn w:val="881"/>
    <w:next w:val="881"/>
    <w:link w:val="881"/>
    <w:semiHidden/>
    <w:qFormat/>
    <w:rPr>
      <w:rFonts w:ascii="Arial" w:hAnsi="Arial" w:eastAsia="Arial" w:cs="Arial"/>
      <w:sz w:val="21"/>
      <w:szCs w:val="21"/>
      <w:lang w:val="en-US" w:eastAsia="en-US" w:bidi="ar-SA"/>
    </w:rPr>
  </w:style>
  <w:style w:type="paragraph" w:styleId="1000">
    <w:name w:val="Table Paragraph"/>
    <w:basedOn w:val="881"/>
    <w:next w:val="1000"/>
    <w:link w:val="881"/>
    <w:uiPriority w:val="1"/>
    <w:qFormat/>
    <w:pPr>
      <w:jc w:val="left"/>
    </w:pPr>
    <w:rPr>
      <w:rFonts w:ascii="宋体" w:hAnsi="宋体" w:eastAsia="宋体" w:cs="宋体"/>
      <w:sz w:val="22"/>
      <w:szCs w:val="22"/>
      <w:lang w:val="zh-CN" w:bidi="zh-CN"/>
    </w:rPr>
  </w:style>
  <w:style w:type="table" w:styleId="1001">
    <w:name w:val="网格型1"/>
    <w:basedOn w:val="1002"/>
    <w:next w:val="1001"/>
    <w:link w:val="881"/>
    <w:qFormat/>
    <w:pPr>
      <w:jc w:val="both"/>
      <w:widowControl w:val="off"/>
    </w:pPr>
    <w:tblPr/>
  </w:style>
  <w:style w:type="table" w:styleId="1002">
    <w:name w:val="普通表格1"/>
    <w:next w:val="1002"/>
    <w:link w:val="881"/>
    <w:uiPriority w:val="99"/>
    <w:unhideWhenUsed/>
    <w:qFormat/>
    <w:rPr>
      <w:lang w:val="en-US" w:eastAsia="zh-CN" w:bidi="ar-SA"/>
    </w:rPr>
    <w:tblPr/>
  </w:style>
  <w:style w:type="paragraph" w:styleId="1003">
    <w:name w:val="正文文本缩进1"/>
    <w:basedOn w:val="881"/>
    <w:next w:val="1004"/>
    <w:link w:val="881"/>
    <w:unhideWhenUsed/>
    <w:qFormat/>
    <w:pPr>
      <w:ind w:left="420"/>
      <w:spacing w:after="120"/>
    </w:pPr>
  </w:style>
  <w:style w:type="paragraph" w:styleId="1004">
    <w:name w:val="正文文本首行缩进 2"/>
    <w:basedOn w:val="1003"/>
    <w:next w:val="1004"/>
    <w:link w:val="881"/>
    <w:qFormat/>
    <w:pPr>
      <w:ind w:left="0" w:firstLine="420"/>
      <w:spacing w:after="0" w:line="360" w:lineRule="auto"/>
    </w:pPr>
    <w:rPr>
      <w:rFonts w:ascii="宋体" w:hAnsi="宋体"/>
      <w:sz w:val="20"/>
      <w:szCs w:val="20"/>
      <w:lang w:val="en-US" w:eastAsia="en-US"/>
    </w:rPr>
  </w:style>
  <w:style w:type="table" w:styleId="1005">
    <w:name w:val="Table Normal_0"/>
    <w:next w:val="1005"/>
    <w:link w:val="881"/>
    <w:qFormat/>
    <w:rPr>
      <w:lang w:val="en-US" w:eastAsia="zh-CN" w:bidi="ar-SA"/>
    </w:rPr>
    <w:tblPr/>
  </w:style>
  <w:style w:type="character" w:styleId="1006">
    <w:name w:val="font21"/>
    <w:basedOn w:val="891"/>
    <w:next w:val="1006"/>
    <w:link w:val="881"/>
    <w:qFormat/>
    <w:rPr>
      <w:rFonts w:hint="eastAsia" w:ascii="宋体" w:hAnsi="宋体" w:eastAsia="宋体" w:cs="宋体"/>
      <w:b/>
      <w:bCs/>
      <w:color w:val="000000"/>
      <w:sz w:val="20"/>
      <w:szCs w:val="20"/>
      <w:u w:val="none"/>
    </w:rPr>
  </w:style>
  <w:style w:type="character" w:styleId="1007">
    <w:name w:val="font41"/>
    <w:basedOn w:val="891"/>
    <w:next w:val="1007"/>
    <w:link w:val="881"/>
    <w:qFormat/>
    <w:rPr>
      <w:rFonts w:hint="eastAsia" w:ascii="宋体" w:hAnsi="宋体" w:eastAsia="宋体" w:cs="宋体"/>
      <w:color w:val="000000"/>
      <w:sz w:val="20"/>
      <w:szCs w:val="20"/>
      <w:u w:val="none"/>
    </w:rPr>
  </w:style>
  <w:style w:type="character" w:styleId="1008">
    <w:name w:val="font31"/>
    <w:basedOn w:val="891"/>
    <w:next w:val="1008"/>
    <w:link w:val="881"/>
    <w:qFormat/>
    <w:rPr>
      <w:rFonts w:hint="eastAsia" w:ascii="宋体" w:hAnsi="宋体" w:eastAsia="宋体" w:cs="宋体"/>
      <w:b/>
      <w:bCs/>
      <w:color w:val="000000"/>
      <w:sz w:val="20"/>
      <w:szCs w:val="20"/>
      <w:u w:val="none"/>
    </w:rPr>
  </w:style>
  <w:style w:type="character" w:styleId="1009">
    <w:name w:val="font81"/>
    <w:basedOn w:val="891"/>
    <w:next w:val="1009"/>
    <w:link w:val="881"/>
    <w:qFormat/>
    <w:rPr>
      <w:rFonts w:hint="eastAsia" w:ascii="宋体" w:hAnsi="宋体" w:eastAsia="宋体" w:cs="宋体"/>
      <w:color w:val="000000"/>
      <w:sz w:val="20"/>
      <w:szCs w:val="20"/>
      <w:u w:val="none"/>
    </w:rPr>
  </w:style>
  <w:style w:type="character" w:styleId="1010">
    <w:name w:val="font111"/>
    <w:basedOn w:val="891"/>
    <w:next w:val="1010"/>
    <w:link w:val="881"/>
    <w:qFormat/>
    <w:rPr>
      <w:rFonts w:hint="eastAsia" w:ascii="宋体" w:hAnsi="宋体" w:eastAsia="宋体" w:cs="宋体"/>
      <w:b/>
      <w:bCs/>
      <w:color w:val="000000"/>
      <w:sz w:val="20"/>
      <w:szCs w:val="20"/>
      <w:u w:val="none"/>
    </w:rPr>
  </w:style>
  <w:style w:type="paragraph" w:styleId="1011">
    <w:name w:val="纯文本1"/>
    <w:basedOn w:val="881"/>
    <w:next w:val="1011"/>
    <w:link w:val="881"/>
    <w:qFormat/>
    <w:rPr>
      <w:rFonts w:ascii="宋体" w:hAnsi="Courier New" w:eastAsia="宋体" w:cs="Courier New"/>
      <w:szCs w:val="21"/>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7</cp:revision>
  <dcterms:created xsi:type="dcterms:W3CDTF">2023-03-16T02:13:00Z</dcterms:created>
  <dcterms:modified xsi:type="dcterms:W3CDTF">2025-12-12T07:40:53Z</dcterms:modified>
</cp:coreProperties>
</file>